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5A4E" w:rsidR="00E263C8" w:rsidP="00685A4E" w:rsidRDefault="00E263C8" w14:paraId="7B913DB2"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1</w:t>
      </w:r>
      <w:r w:rsidRPr="00685A4E">
        <w:rPr>
          <w:rFonts w:asciiTheme="minorHAnsi" w:hAnsiTheme="minorHAnsi" w:cstheme="minorHAnsi"/>
          <w:b/>
          <w:bCs/>
          <w:color w:val="auto"/>
          <w:sz w:val="20"/>
          <w:szCs w:val="20"/>
        </w:rPr>
        <w:tab/>
      </w:r>
      <w:proofErr w:type="gramStart"/>
      <w:r w:rsidRPr="00685A4E">
        <w:rPr>
          <w:rFonts w:asciiTheme="minorHAnsi" w:hAnsiTheme="minorHAnsi" w:cstheme="minorHAnsi"/>
          <w:b/>
          <w:bCs/>
          <w:color w:val="auto"/>
          <w:sz w:val="20"/>
          <w:szCs w:val="20"/>
        </w:rPr>
        <w:t>Información</w:t>
      </w:r>
      <w:proofErr w:type="gramEnd"/>
      <w:r w:rsidRPr="00685A4E">
        <w:rPr>
          <w:rFonts w:asciiTheme="minorHAnsi" w:hAnsiTheme="minorHAnsi" w:cstheme="minorHAnsi"/>
          <w:b/>
          <w:bCs/>
          <w:color w:val="auto"/>
          <w:sz w:val="20"/>
          <w:szCs w:val="20"/>
        </w:rPr>
        <w:t xml:space="preserve"> General</w:t>
      </w:r>
      <w:r w:rsidRPr="00685A4E" w:rsidR="005D0A1B">
        <w:rPr>
          <w:rFonts w:asciiTheme="minorHAnsi" w:hAnsiTheme="minorHAnsi" w:cstheme="minorHAnsi"/>
          <w:b/>
          <w:bCs/>
          <w:color w:val="auto"/>
          <w:sz w:val="20"/>
          <w:szCs w:val="20"/>
        </w:rPr>
        <w:t>:</w:t>
      </w:r>
    </w:p>
    <w:p w:rsidRPr="00685A4E" w:rsidR="00E263C8" w:rsidP="00685A4E" w:rsidRDefault="00E263C8" w14:paraId="0DF8CBD4" w14:textId="77777777">
      <w:pPr>
        <w:pStyle w:val="Default"/>
        <w:jc w:val="both"/>
        <w:rPr>
          <w:rFonts w:asciiTheme="minorHAnsi" w:hAnsiTheme="minorHAnsi" w:cstheme="minorHAnsi"/>
          <w:bCs/>
          <w:color w:val="auto"/>
          <w:sz w:val="20"/>
          <w:szCs w:val="20"/>
          <w:u w:val="single"/>
        </w:rPr>
      </w:pPr>
      <w:r w:rsidRPr="00685A4E">
        <w:rPr>
          <w:rFonts w:asciiTheme="minorHAnsi" w:hAnsiTheme="minorHAnsi" w:cstheme="minorHAnsi"/>
          <w:bCs/>
          <w:color w:val="auto"/>
          <w:sz w:val="20"/>
          <w:szCs w:val="20"/>
          <w:u w:val="single"/>
        </w:rPr>
        <w:t>1.1</w:t>
      </w:r>
      <w:r w:rsidRPr="00685A4E">
        <w:rPr>
          <w:rFonts w:asciiTheme="minorHAnsi" w:hAnsiTheme="minorHAnsi" w:cstheme="minorHAnsi"/>
          <w:bCs/>
          <w:color w:val="auto"/>
          <w:sz w:val="20"/>
          <w:szCs w:val="20"/>
          <w:u w:val="single"/>
        </w:rPr>
        <w:tab/>
      </w:r>
      <w:r w:rsidRPr="00685A4E">
        <w:rPr>
          <w:rFonts w:asciiTheme="minorHAnsi" w:hAnsiTheme="minorHAnsi" w:cstheme="minorHAnsi"/>
          <w:bCs/>
          <w:color w:val="auto"/>
          <w:sz w:val="20"/>
          <w:szCs w:val="20"/>
          <w:u w:val="single"/>
        </w:rPr>
        <w:t>Identificación del estudio</w:t>
      </w:r>
    </w:p>
    <w:p w:rsidRPr="00685A4E" w:rsidR="00212404" w:rsidP="00685A4E" w:rsidRDefault="00E263C8" w14:paraId="1CB048BA" w14:textId="4229C942">
      <w:pPr>
        <w:jc w:val="center"/>
        <w:rPr>
          <w:rFonts w:asciiTheme="minorHAnsi" w:hAnsiTheme="minorHAnsi" w:cstheme="minorHAnsi"/>
          <w:bCs/>
          <w:sz w:val="20"/>
          <w:lang w:val="es-ES"/>
        </w:rPr>
      </w:pPr>
      <w:r w:rsidRPr="00685A4E">
        <w:rPr>
          <w:rFonts w:asciiTheme="minorHAnsi" w:hAnsiTheme="minorHAnsi" w:cstheme="minorHAnsi"/>
          <w:b/>
          <w:sz w:val="20"/>
        </w:rPr>
        <w:t>Título</w:t>
      </w:r>
      <w:r w:rsidRPr="00685A4E" w:rsidR="00D049AA">
        <w:rPr>
          <w:rFonts w:asciiTheme="minorHAnsi" w:hAnsiTheme="minorHAnsi" w:cstheme="minorHAnsi"/>
          <w:bCs/>
          <w:sz w:val="20"/>
        </w:rPr>
        <w:t>:</w:t>
      </w:r>
      <w:r w:rsidRPr="00685A4E" w:rsidR="00115DFB">
        <w:rPr>
          <w:rFonts w:asciiTheme="minorHAnsi" w:hAnsiTheme="minorHAnsi" w:cstheme="minorHAnsi"/>
          <w:bCs/>
          <w:sz w:val="20"/>
        </w:rPr>
        <w:t xml:space="preserve"> </w:t>
      </w:r>
      <w:r w:rsidRPr="00685A4E" w:rsidR="00753E2D">
        <w:rPr>
          <w:rFonts w:asciiTheme="minorHAnsi" w:hAnsiTheme="minorHAnsi" w:cstheme="minorHAnsi"/>
          <w:bCs/>
          <w:sz w:val="20"/>
          <w:lang w:val="es-ES"/>
        </w:rPr>
        <w:t xml:space="preserve">ESTUDIO </w:t>
      </w:r>
      <w:r w:rsidRPr="00685A4E" w:rsidR="008F0CD2">
        <w:rPr>
          <w:rFonts w:asciiTheme="minorHAnsi" w:hAnsiTheme="minorHAnsi" w:cstheme="minorHAnsi"/>
          <w:bCs/>
          <w:sz w:val="20"/>
          <w:lang w:val="es-ES"/>
        </w:rPr>
        <w:t>FOREVER (</w:t>
      </w:r>
      <w:proofErr w:type="spellStart"/>
      <w:r w:rsidR="00302E46">
        <w:rPr>
          <w:rFonts w:asciiTheme="minorHAnsi" w:hAnsiTheme="minorHAnsi" w:cstheme="minorHAnsi"/>
          <w:bCs/>
          <w:sz w:val="20"/>
          <w:lang w:val="es-ES"/>
        </w:rPr>
        <w:t>FORo</w:t>
      </w:r>
      <w:proofErr w:type="spellEnd"/>
      <w:r w:rsidR="00302E46">
        <w:rPr>
          <w:rFonts w:asciiTheme="minorHAnsi" w:hAnsiTheme="minorHAnsi" w:cstheme="minorHAnsi"/>
          <w:bCs/>
          <w:sz w:val="20"/>
          <w:lang w:val="es-ES"/>
        </w:rPr>
        <w:t xml:space="preserve"> para Encontrar la Verdadera causa de la Enfermedad Renal</w:t>
      </w:r>
      <w:r w:rsidRPr="00685A4E" w:rsidR="008F0CD2">
        <w:rPr>
          <w:rFonts w:asciiTheme="minorHAnsi" w:hAnsiTheme="minorHAnsi" w:cstheme="minorHAnsi"/>
          <w:bCs/>
          <w:sz w:val="20"/>
          <w:lang w:val="es-ES"/>
        </w:rPr>
        <w:t>)</w:t>
      </w:r>
      <w:r w:rsidRPr="00685A4E" w:rsidR="00422B1D">
        <w:rPr>
          <w:rFonts w:asciiTheme="minorHAnsi" w:hAnsiTheme="minorHAnsi" w:cstheme="minorHAnsi"/>
          <w:bCs/>
          <w:sz w:val="20"/>
          <w:highlight w:val="yellow"/>
          <w:lang w:val="es-ES"/>
        </w:rPr>
        <w:t>.</w:t>
      </w:r>
    </w:p>
    <w:p w:rsidRPr="00685A4E" w:rsidR="00F820F3" w:rsidP="00685A4E" w:rsidRDefault="00F820F3" w14:paraId="31E2D0B4" w14:textId="77777777">
      <w:pPr>
        <w:jc w:val="center"/>
        <w:rPr>
          <w:rFonts w:asciiTheme="minorHAnsi" w:hAnsiTheme="minorHAnsi" w:cstheme="minorHAnsi"/>
          <w:bCs/>
          <w:sz w:val="20"/>
          <w:lang w:val="es-ES"/>
        </w:rPr>
      </w:pPr>
    </w:p>
    <w:p w:rsidRPr="00685A4E" w:rsidR="00786B04" w:rsidP="00685A4E" w:rsidRDefault="00E263C8" w14:paraId="656D47A7" w14:textId="3BB2D4A8">
      <w:pPr>
        <w:pStyle w:val="Default"/>
        <w:ind w:left="1416" w:hanging="1416"/>
        <w:jc w:val="both"/>
        <w:rPr>
          <w:rFonts w:asciiTheme="minorHAnsi" w:hAnsiTheme="minorHAnsi" w:cstheme="minorHAnsi"/>
          <w:bCs/>
          <w:color w:val="auto"/>
          <w:sz w:val="20"/>
          <w:szCs w:val="20"/>
        </w:rPr>
      </w:pPr>
      <w:r w:rsidRPr="00685A4E">
        <w:rPr>
          <w:rFonts w:asciiTheme="minorHAnsi" w:hAnsiTheme="minorHAnsi" w:cstheme="minorHAnsi"/>
          <w:b/>
          <w:color w:val="auto"/>
          <w:sz w:val="20"/>
          <w:szCs w:val="20"/>
        </w:rPr>
        <w:t>Versión y fecha</w:t>
      </w:r>
      <w:r w:rsidRPr="00685A4E" w:rsidR="00D049AA">
        <w:rPr>
          <w:rFonts w:asciiTheme="minorHAnsi" w:hAnsiTheme="minorHAnsi" w:cstheme="minorHAnsi"/>
          <w:bCs/>
          <w:color w:val="auto"/>
          <w:sz w:val="20"/>
          <w:szCs w:val="20"/>
        </w:rPr>
        <w:t>:</w:t>
      </w:r>
      <w:r w:rsidRPr="00685A4E" w:rsidR="00212404">
        <w:rPr>
          <w:rFonts w:asciiTheme="minorHAnsi" w:hAnsiTheme="minorHAnsi" w:cstheme="minorHAnsi"/>
          <w:bCs/>
          <w:color w:val="auto"/>
          <w:sz w:val="20"/>
          <w:szCs w:val="20"/>
        </w:rPr>
        <w:t xml:space="preserve"> Versión </w:t>
      </w:r>
      <w:r w:rsidRPr="00685A4E" w:rsidR="00115DFB">
        <w:rPr>
          <w:rFonts w:asciiTheme="minorHAnsi" w:hAnsiTheme="minorHAnsi" w:cstheme="minorHAnsi"/>
          <w:bCs/>
          <w:color w:val="auto"/>
          <w:sz w:val="20"/>
          <w:szCs w:val="20"/>
        </w:rPr>
        <w:t xml:space="preserve">1 </w:t>
      </w:r>
      <w:r w:rsidRPr="00685A4E" w:rsidR="00572025">
        <w:rPr>
          <w:rFonts w:asciiTheme="minorHAnsi" w:hAnsiTheme="minorHAnsi" w:cstheme="minorHAnsi"/>
          <w:bCs/>
          <w:color w:val="auto"/>
          <w:sz w:val="20"/>
          <w:szCs w:val="20"/>
        </w:rPr>
        <w:t>23</w:t>
      </w:r>
      <w:r w:rsidRPr="00685A4E" w:rsidR="00212404">
        <w:rPr>
          <w:rFonts w:asciiTheme="minorHAnsi" w:hAnsiTheme="minorHAnsi" w:cstheme="minorHAnsi"/>
          <w:bCs/>
          <w:color w:val="auto"/>
          <w:sz w:val="20"/>
          <w:szCs w:val="20"/>
        </w:rPr>
        <w:t>/0</w:t>
      </w:r>
      <w:r w:rsidRPr="00685A4E" w:rsidR="00115DFB">
        <w:rPr>
          <w:rFonts w:asciiTheme="minorHAnsi" w:hAnsiTheme="minorHAnsi" w:cstheme="minorHAnsi"/>
          <w:bCs/>
          <w:color w:val="auto"/>
          <w:sz w:val="20"/>
          <w:szCs w:val="20"/>
        </w:rPr>
        <w:t>3</w:t>
      </w:r>
      <w:r w:rsidRPr="00685A4E" w:rsidR="00212404">
        <w:rPr>
          <w:rFonts w:asciiTheme="minorHAnsi" w:hAnsiTheme="minorHAnsi" w:cstheme="minorHAnsi"/>
          <w:bCs/>
          <w:color w:val="auto"/>
          <w:sz w:val="20"/>
          <w:szCs w:val="20"/>
        </w:rPr>
        <w:t>/202</w:t>
      </w:r>
      <w:r w:rsidRPr="00685A4E" w:rsidR="00572025">
        <w:rPr>
          <w:rFonts w:asciiTheme="minorHAnsi" w:hAnsiTheme="minorHAnsi" w:cstheme="minorHAnsi"/>
          <w:bCs/>
          <w:color w:val="auto"/>
          <w:sz w:val="20"/>
          <w:szCs w:val="20"/>
        </w:rPr>
        <w:t>3</w:t>
      </w:r>
    </w:p>
    <w:p w:rsidRPr="00685A4E" w:rsidR="00201B51" w:rsidP="00685A4E" w:rsidRDefault="00201B51" w14:paraId="2C62CFB3" w14:textId="77777777">
      <w:pPr>
        <w:pStyle w:val="Default"/>
        <w:jc w:val="both"/>
        <w:rPr>
          <w:rFonts w:asciiTheme="minorHAnsi" w:hAnsiTheme="minorHAnsi" w:cstheme="minorHAnsi"/>
          <w:bCs/>
          <w:color w:val="auto"/>
          <w:sz w:val="20"/>
          <w:szCs w:val="20"/>
        </w:rPr>
      </w:pPr>
    </w:p>
    <w:p w:rsidRPr="00685A4E" w:rsidR="00E263C8" w:rsidP="00685A4E" w:rsidRDefault="00E263C8" w14:paraId="65C6CD6F" w14:textId="77777777">
      <w:pPr>
        <w:pStyle w:val="Default"/>
        <w:jc w:val="both"/>
        <w:rPr>
          <w:rFonts w:asciiTheme="minorHAnsi" w:hAnsiTheme="minorHAnsi" w:cstheme="minorHAnsi"/>
          <w:bCs/>
          <w:color w:val="auto"/>
          <w:sz w:val="20"/>
          <w:szCs w:val="20"/>
          <w:u w:val="single"/>
        </w:rPr>
      </w:pPr>
      <w:r w:rsidRPr="00685A4E">
        <w:rPr>
          <w:rFonts w:asciiTheme="minorHAnsi" w:hAnsiTheme="minorHAnsi" w:cstheme="minorHAnsi"/>
          <w:bCs/>
          <w:color w:val="auto"/>
          <w:sz w:val="20"/>
          <w:szCs w:val="20"/>
          <w:u w:val="single"/>
        </w:rPr>
        <w:t>1.2</w:t>
      </w:r>
      <w:r w:rsidRPr="00685A4E">
        <w:rPr>
          <w:rFonts w:asciiTheme="minorHAnsi" w:hAnsiTheme="minorHAnsi" w:cstheme="minorHAnsi"/>
          <w:bCs/>
          <w:color w:val="auto"/>
          <w:sz w:val="20"/>
          <w:szCs w:val="20"/>
          <w:u w:val="single"/>
        </w:rPr>
        <w:tab/>
      </w:r>
      <w:r w:rsidRPr="00685A4E">
        <w:rPr>
          <w:rFonts w:asciiTheme="minorHAnsi" w:hAnsiTheme="minorHAnsi" w:cstheme="minorHAnsi"/>
          <w:bCs/>
          <w:color w:val="auto"/>
          <w:sz w:val="20"/>
          <w:szCs w:val="20"/>
          <w:u w:val="single"/>
        </w:rPr>
        <w:t>Identificación de promotor</w:t>
      </w:r>
      <w:r w:rsidRPr="00685A4E" w:rsidR="00201B51">
        <w:rPr>
          <w:rFonts w:asciiTheme="minorHAnsi" w:hAnsiTheme="minorHAnsi" w:cstheme="minorHAnsi"/>
          <w:bCs/>
          <w:color w:val="auto"/>
          <w:sz w:val="20"/>
          <w:szCs w:val="20"/>
          <w:u w:val="single"/>
        </w:rPr>
        <w:t>:</w:t>
      </w:r>
    </w:p>
    <w:p w:rsidRPr="00685A4E" w:rsidR="00E263C8" w:rsidP="00685A4E" w:rsidRDefault="00E263C8" w14:paraId="16C3F923" w14:textId="5694FA29">
      <w:pPr>
        <w:pStyle w:val="Default"/>
        <w:jc w:val="both"/>
        <w:rPr>
          <w:rFonts w:asciiTheme="minorHAnsi" w:hAnsiTheme="minorHAnsi" w:cstheme="minorHAnsi"/>
          <w:bCs/>
          <w:color w:val="auto"/>
          <w:sz w:val="20"/>
          <w:szCs w:val="20"/>
        </w:rPr>
      </w:pPr>
      <w:r w:rsidRPr="00685A4E">
        <w:rPr>
          <w:rFonts w:asciiTheme="minorHAnsi" w:hAnsiTheme="minorHAnsi" w:cstheme="minorHAnsi"/>
          <w:b/>
          <w:color w:val="auto"/>
          <w:sz w:val="20"/>
          <w:szCs w:val="20"/>
        </w:rPr>
        <w:t>Nombre del promotor</w:t>
      </w:r>
      <w:r w:rsidRPr="00685A4E" w:rsidR="00212404">
        <w:rPr>
          <w:rFonts w:asciiTheme="minorHAnsi" w:hAnsiTheme="minorHAnsi" w:cstheme="minorHAnsi"/>
          <w:bCs/>
          <w:color w:val="auto"/>
          <w:sz w:val="20"/>
          <w:szCs w:val="20"/>
        </w:rPr>
        <w:t xml:space="preserve">: </w:t>
      </w:r>
      <w:r w:rsidRPr="00685A4E" w:rsidR="00D66CE1">
        <w:rPr>
          <w:rFonts w:asciiTheme="minorHAnsi" w:hAnsiTheme="minorHAnsi" w:cstheme="minorHAnsi"/>
          <w:bCs/>
          <w:color w:val="auto"/>
          <w:sz w:val="20"/>
          <w:szCs w:val="20"/>
        </w:rPr>
        <w:t xml:space="preserve">SOCIEDAD </w:t>
      </w:r>
      <w:r w:rsidRPr="00685A4E" w:rsidR="00115DFB">
        <w:rPr>
          <w:rFonts w:asciiTheme="minorHAnsi" w:hAnsiTheme="minorHAnsi" w:cstheme="minorHAnsi"/>
          <w:bCs/>
          <w:color w:val="auto"/>
          <w:sz w:val="20"/>
          <w:szCs w:val="20"/>
        </w:rPr>
        <w:t xml:space="preserve">MADRLIEÑA </w:t>
      </w:r>
      <w:r w:rsidRPr="00685A4E" w:rsidR="00D66CE1">
        <w:rPr>
          <w:rFonts w:asciiTheme="minorHAnsi" w:hAnsiTheme="minorHAnsi" w:cstheme="minorHAnsi"/>
          <w:bCs/>
          <w:color w:val="auto"/>
          <w:sz w:val="20"/>
          <w:szCs w:val="20"/>
        </w:rPr>
        <w:t xml:space="preserve">DE NEFROLOGÍA. </w:t>
      </w:r>
    </w:p>
    <w:p w:rsidRPr="00685A4E" w:rsidR="00201B51" w:rsidP="00685A4E" w:rsidRDefault="00201B51" w14:paraId="77397713" w14:textId="77777777">
      <w:pPr>
        <w:pStyle w:val="Default"/>
        <w:jc w:val="both"/>
        <w:rPr>
          <w:rFonts w:asciiTheme="minorHAnsi" w:hAnsiTheme="minorHAnsi" w:cstheme="minorHAnsi"/>
          <w:bCs/>
          <w:color w:val="auto"/>
          <w:sz w:val="20"/>
          <w:szCs w:val="20"/>
        </w:rPr>
      </w:pPr>
    </w:p>
    <w:p w:rsidRPr="00685A4E" w:rsidR="00E263C8" w:rsidP="00685A4E" w:rsidRDefault="00E263C8" w14:paraId="7299F90E" w14:textId="77777777">
      <w:pPr>
        <w:pStyle w:val="Default"/>
        <w:jc w:val="both"/>
        <w:rPr>
          <w:rFonts w:asciiTheme="minorHAnsi" w:hAnsiTheme="minorHAnsi" w:cstheme="minorHAnsi"/>
          <w:bCs/>
          <w:color w:val="auto"/>
          <w:sz w:val="20"/>
          <w:szCs w:val="20"/>
          <w:u w:val="single"/>
        </w:rPr>
      </w:pPr>
      <w:r w:rsidRPr="00685A4E">
        <w:rPr>
          <w:rFonts w:asciiTheme="minorHAnsi" w:hAnsiTheme="minorHAnsi" w:cstheme="minorHAnsi"/>
          <w:bCs/>
          <w:color w:val="auto"/>
          <w:sz w:val="20"/>
          <w:szCs w:val="20"/>
          <w:u w:val="single"/>
        </w:rPr>
        <w:t>1.</w:t>
      </w:r>
      <w:r w:rsidRPr="00685A4E" w:rsidR="00201B51">
        <w:rPr>
          <w:rFonts w:asciiTheme="minorHAnsi" w:hAnsiTheme="minorHAnsi" w:cstheme="minorHAnsi"/>
          <w:bCs/>
          <w:color w:val="auto"/>
          <w:sz w:val="20"/>
          <w:szCs w:val="20"/>
          <w:u w:val="single"/>
        </w:rPr>
        <w:t>3</w:t>
      </w:r>
      <w:r w:rsidRPr="00685A4E">
        <w:rPr>
          <w:rFonts w:asciiTheme="minorHAnsi" w:hAnsiTheme="minorHAnsi" w:cstheme="minorHAnsi"/>
          <w:bCs/>
          <w:color w:val="auto"/>
          <w:sz w:val="20"/>
          <w:szCs w:val="20"/>
          <w:u w:val="single"/>
        </w:rPr>
        <w:tab/>
      </w:r>
      <w:r w:rsidRPr="00685A4E">
        <w:rPr>
          <w:rFonts w:asciiTheme="minorHAnsi" w:hAnsiTheme="minorHAnsi" w:cstheme="minorHAnsi"/>
          <w:bCs/>
          <w:color w:val="auto"/>
          <w:sz w:val="20"/>
          <w:szCs w:val="20"/>
          <w:u w:val="single"/>
        </w:rPr>
        <w:t>Identificación de investigadores principales de los centros participantes</w:t>
      </w:r>
      <w:r w:rsidRPr="00685A4E" w:rsidR="00201B51">
        <w:rPr>
          <w:rFonts w:asciiTheme="minorHAnsi" w:hAnsiTheme="minorHAnsi" w:cstheme="minorHAnsi"/>
          <w:bCs/>
          <w:color w:val="auto"/>
          <w:sz w:val="20"/>
          <w:szCs w:val="20"/>
          <w:u w:val="single"/>
        </w:rPr>
        <w:t>:</w:t>
      </w:r>
    </w:p>
    <w:p w:rsidRPr="00685A4E" w:rsidR="00614505" w:rsidP="00685A4E" w:rsidRDefault="004208E6" w14:paraId="17F47052" w14:textId="1F786059">
      <w:pPr>
        <w:pStyle w:val="Default"/>
        <w:jc w:val="both"/>
        <w:rPr>
          <w:rFonts w:asciiTheme="minorHAnsi" w:hAnsiTheme="minorHAnsi" w:cstheme="minorHAnsi"/>
          <w:bCs/>
          <w:color w:val="auto"/>
          <w:sz w:val="20"/>
          <w:szCs w:val="20"/>
        </w:rPr>
      </w:pPr>
      <w:bookmarkStart w:name="_Hlk130477820" w:id="0"/>
      <w:bookmarkStart w:name="_Hlk130478568" w:id="1"/>
      <w:r w:rsidRPr="00685A4E">
        <w:rPr>
          <w:rFonts w:asciiTheme="minorHAnsi" w:hAnsiTheme="minorHAnsi" w:cstheme="minorHAnsi"/>
          <w:b/>
          <w:color w:val="auto"/>
          <w:sz w:val="20"/>
          <w:szCs w:val="20"/>
        </w:rPr>
        <w:t>María</w:t>
      </w:r>
      <w:r w:rsidRPr="00685A4E" w:rsidR="00115DFB">
        <w:rPr>
          <w:rFonts w:asciiTheme="minorHAnsi" w:hAnsiTheme="minorHAnsi" w:cstheme="minorHAnsi"/>
          <w:b/>
          <w:color w:val="auto"/>
          <w:sz w:val="20"/>
          <w:szCs w:val="20"/>
        </w:rPr>
        <w:t xml:space="preserve"> Marques</w:t>
      </w:r>
      <w:r w:rsidRPr="00685A4E" w:rsidR="000F4DB3">
        <w:rPr>
          <w:rFonts w:asciiTheme="minorHAnsi" w:hAnsiTheme="minorHAnsi" w:cstheme="minorHAnsi"/>
          <w:bCs/>
          <w:color w:val="auto"/>
          <w:sz w:val="20"/>
          <w:szCs w:val="20"/>
        </w:rPr>
        <w:t xml:space="preserve">, Servicio de Nefrología del Hospital Universitario </w:t>
      </w:r>
      <w:r w:rsidRPr="00685A4E" w:rsidR="008F0CD2">
        <w:rPr>
          <w:rFonts w:asciiTheme="minorHAnsi" w:hAnsiTheme="minorHAnsi" w:cstheme="minorHAnsi"/>
          <w:bCs/>
          <w:color w:val="auto"/>
          <w:sz w:val="20"/>
          <w:szCs w:val="20"/>
        </w:rPr>
        <w:t>Puerta de Hierro Majadahonda</w:t>
      </w:r>
      <w:r w:rsidRPr="00685A4E" w:rsidR="00685A4E">
        <w:rPr>
          <w:rFonts w:asciiTheme="minorHAnsi" w:hAnsiTheme="minorHAnsi" w:cstheme="minorHAnsi"/>
          <w:bCs/>
          <w:color w:val="auto"/>
          <w:sz w:val="20"/>
          <w:szCs w:val="20"/>
        </w:rPr>
        <w:t xml:space="preserve"> (mmvidas@gmail.com</w:t>
      </w:r>
      <w:r w:rsidRPr="00685A4E" w:rsidR="002C3654">
        <w:rPr>
          <w:rFonts w:asciiTheme="minorHAnsi" w:hAnsiTheme="minorHAnsi" w:cstheme="minorHAnsi"/>
          <w:bCs/>
          <w:color w:val="auto"/>
          <w:sz w:val="20"/>
          <w:szCs w:val="20"/>
        </w:rPr>
        <w:t>)</w:t>
      </w:r>
    </w:p>
    <w:p w:rsidRPr="00685A4E" w:rsidR="007B3A5F" w:rsidP="00685A4E" w:rsidRDefault="008F0CD2" w14:paraId="1785B25D" w14:textId="63310644">
      <w:pPr>
        <w:pStyle w:val="Default"/>
        <w:jc w:val="both"/>
        <w:rPr>
          <w:rFonts w:asciiTheme="minorHAnsi" w:hAnsiTheme="minorHAnsi" w:cstheme="minorHAnsi"/>
          <w:bCs/>
          <w:color w:val="auto"/>
          <w:sz w:val="20"/>
          <w:szCs w:val="20"/>
        </w:rPr>
      </w:pPr>
      <w:r w:rsidRPr="00685A4E">
        <w:rPr>
          <w:rFonts w:asciiTheme="minorHAnsi" w:hAnsiTheme="minorHAnsi" w:cstheme="minorHAnsi"/>
          <w:b/>
          <w:color w:val="auto"/>
          <w:sz w:val="20"/>
          <w:szCs w:val="20"/>
        </w:rPr>
        <w:t xml:space="preserve">Judith </w:t>
      </w:r>
      <w:proofErr w:type="spellStart"/>
      <w:r w:rsidRPr="00685A4E">
        <w:rPr>
          <w:rFonts w:asciiTheme="minorHAnsi" w:hAnsiTheme="minorHAnsi" w:cstheme="minorHAnsi"/>
          <w:b/>
          <w:color w:val="auto"/>
          <w:sz w:val="20"/>
          <w:szCs w:val="20"/>
        </w:rPr>
        <w:t>Martins</w:t>
      </w:r>
      <w:proofErr w:type="spellEnd"/>
      <w:r w:rsidRPr="00685A4E">
        <w:rPr>
          <w:rFonts w:asciiTheme="minorHAnsi" w:hAnsiTheme="minorHAnsi" w:cstheme="minorHAnsi"/>
          <w:b/>
          <w:color w:val="auto"/>
          <w:sz w:val="20"/>
          <w:szCs w:val="20"/>
        </w:rPr>
        <w:t xml:space="preserve"> –</w:t>
      </w:r>
      <w:r w:rsidRPr="00685A4E" w:rsidR="00C73B24">
        <w:rPr>
          <w:rFonts w:asciiTheme="minorHAnsi" w:hAnsiTheme="minorHAnsi" w:cstheme="minorHAnsi"/>
          <w:bCs/>
          <w:color w:val="auto"/>
          <w:sz w:val="20"/>
          <w:szCs w:val="20"/>
        </w:rPr>
        <w:t xml:space="preserve">Servicio de Nefrología </w:t>
      </w:r>
      <w:r w:rsidRPr="00685A4E" w:rsidR="009E3749">
        <w:rPr>
          <w:rFonts w:asciiTheme="minorHAnsi" w:hAnsiTheme="minorHAnsi" w:cstheme="minorHAnsi"/>
          <w:bCs/>
          <w:color w:val="auto"/>
          <w:sz w:val="20"/>
          <w:szCs w:val="20"/>
        </w:rPr>
        <w:t xml:space="preserve">del Hospital Universitario </w:t>
      </w:r>
      <w:r w:rsidRPr="00685A4E" w:rsidR="00B00447">
        <w:rPr>
          <w:rFonts w:asciiTheme="minorHAnsi" w:hAnsiTheme="minorHAnsi" w:cstheme="minorHAnsi"/>
          <w:bCs/>
          <w:color w:val="auto"/>
          <w:sz w:val="20"/>
          <w:szCs w:val="20"/>
        </w:rPr>
        <w:t xml:space="preserve">de </w:t>
      </w:r>
      <w:r w:rsidRPr="00685A4E" w:rsidR="00B00447">
        <w:rPr>
          <w:rFonts w:asciiTheme="minorHAnsi" w:hAnsiTheme="minorHAnsi" w:cstheme="minorHAnsi"/>
          <w:b/>
          <w:color w:val="auto"/>
          <w:sz w:val="20"/>
          <w:szCs w:val="20"/>
        </w:rPr>
        <w:t>Getafe</w:t>
      </w:r>
      <w:r w:rsidRPr="00685A4E" w:rsidR="009E3749">
        <w:rPr>
          <w:rFonts w:asciiTheme="minorHAnsi" w:hAnsiTheme="minorHAnsi" w:cstheme="minorHAnsi"/>
          <w:bCs/>
          <w:color w:val="auto"/>
          <w:sz w:val="20"/>
          <w:szCs w:val="20"/>
        </w:rPr>
        <w:t xml:space="preserve"> </w:t>
      </w:r>
      <w:r w:rsidRPr="00685A4E" w:rsidR="00C73B24">
        <w:rPr>
          <w:rFonts w:asciiTheme="minorHAnsi" w:hAnsiTheme="minorHAnsi" w:cstheme="minorHAnsi"/>
          <w:bCs/>
          <w:color w:val="auto"/>
          <w:sz w:val="20"/>
          <w:szCs w:val="20"/>
        </w:rPr>
        <w:t>(</w:t>
      </w:r>
      <w:r w:rsidRPr="00685A4E" w:rsidR="00685A4E">
        <w:rPr>
          <w:rFonts w:asciiTheme="minorHAnsi" w:hAnsiTheme="minorHAnsi" w:cstheme="minorHAnsi"/>
          <w:bCs/>
          <w:color w:val="auto"/>
          <w:sz w:val="20"/>
          <w:szCs w:val="20"/>
        </w:rPr>
        <w:t>judithmartins1@gmail.com</w:t>
      </w:r>
      <w:r w:rsidRPr="00685A4E" w:rsidR="00C73B24">
        <w:rPr>
          <w:rFonts w:asciiTheme="minorHAnsi" w:hAnsiTheme="minorHAnsi" w:cstheme="minorHAnsi"/>
          <w:bCs/>
          <w:color w:val="auto"/>
          <w:sz w:val="20"/>
          <w:szCs w:val="20"/>
        </w:rPr>
        <w:t>)</w:t>
      </w:r>
    </w:p>
    <w:p w:rsidRPr="00685A4E" w:rsidR="00EA4A71" w:rsidP="00685A4E" w:rsidRDefault="007B3A5F" w14:paraId="7F185294" w14:textId="760CCBEB">
      <w:pPr>
        <w:pStyle w:val="Default"/>
        <w:jc w:val="both"/>
        <w:rPr>
          <w:rFonts w:asciiTheme="minorHAnsi" w:hAnsiTheme="minorHAnsi" w:cstheme="minorHAnsi"/>
          <w:bCs/>
          <w:color w:val="auto"/>
          <w:sz w:val="20"/>
          <w:szCs w:val="20"/>
        </w:rPr>
      </w:pPr>
      <w:r w:rsidRPr="00685A4E">
        <w:rPr>
          <w:rFonts w:asciiTheme="minorHAnsi" w:hAnsiTheme="minorHAnsi" w:cstheme="minorHAnsi"/>
          <w:b/>
          <w:color w:val="auto"/>
          <w:sz w:val="20"/>
          <w:szCs w:val="20"/>
        </w:rPr>
        <w:t>Alberto Ortiz</w:t>
      </w:r>
      <w:r w:rsidRPr="00685A4E" w:rsidR="00115DFB">
        <w:rPr>
          <w:rFonts w:asciiTheme="minorHAnsi" w:hAnsiTheme="minorHAnsi" w:cstheme="minorHAnsi"/>
          <w:b/>
          <w:color w:val="auto"/>
          <w:sz w:val="20"/>
          <w:szCs w:val="20"/>
        </w:rPr>
        <w:t xml:space="preserve"> </w:t>
      </w:r>
      <w:r w:rsidRPr="00685A4E" w:rsidR="00FD1519">
        <w:rPr>
          <w:rFonts w:asciiTheme="minorHAnsi" w:hAnsiTheme="minorHAnsi" w:cstheme="minorHAnsi"/>
          <w:b/>
          <w:color w:val="auto"/>
          <w:sz w:val="20"/>
          <w:szCs w:val="20"/>
        </w:rPr>
        <w:t>Arduan</w:t>
      </w:r>
      <w:r w:rsidRPr="00685A4E" w:rsidR="00FD1519">
        <w:rPr>
          <w:rFonts w:asciiTheme="minorHAnsi" w:hAnsiTheme="minorHAnsi" w:cstheme="minorHAnsi"/>
          <w:bCs/>
          <w:color w:val="auto"/>
          <w:sz w:val="20"/>
          <w:szCs w:val="20"/>
        </w:rPr>
        <w:t xml:space="preserve">, jefe de Servicio de Nefrología </w:t>
      </w:r>
      <w:r w:rsidRPr="00685A4E" w:rsidR="008F0CD2">
        <w:rPr>
          <w:rFonts w:asciiTheme="minorHAnsi" w:hAnsiTheme="minorHAnsi" w:cstheme="minorHAnsi"/>
          <w:bCs/>
          <w:color w:val="auto"/>
          <w:sz w:val="20"/>
          <w:szCs w:val="20"/>
        </w:rPr>
        <w:t xml:space="preserve">e Hipertensión </w:t>
      </w:r>
      <w:r w:rsidRPr="00685A4E" w:rsidR="00FD1519">
        <w:rPr>
          <w:rFonts w:asciiTheme="minorHAnsi" w:hAnsiTheme="minorHAnsi" w:cstheme="minorHAnsi"/>
          <w:bCs/>
          <w:color w:val="auto"/>
          <w:sz w:val="20"/>
          <w:szCs w:val="20"/>
        </w:rPr>
        <w:t>de</w:t>
      </w:r>
      <w:r w:rsidRPr="00685A4E" w:rsidR="00F11C4F">
        <w:rPr>
          <w:rFonts w:asciiTheme="minorHAnsi" w:hAnsiTheme="minorHAnsi" w:cstheme="minorHAnsi"/>
          <w:bCs/>
          <w:color w:val="auto"/>
          <w:sz w:val="20"/>
          <w:szCs w:val="20"/>
        </w:rPr>
        <w:t>l Hospital Universitario</w:t>
      </w:r>
      <w:r w:rsidRPr="00685A4E" w:rsidR="00FD1519">
        <w:rPr>
          <w:rFonts w:asciiTheme="minorHAnsi" w:hAnsiTheme="minorHAnsi" w:cstheme="minorHAnsi"/>
          <w:bCs/>
          <w:color w:val="auto"/>
          <w:sz w:val="20"/>
          <w:szCs w:val="20"/>
        </w:rPr>
        <w:t xml:space="preserve"> Fundación Jiménez Díaz de Madrid (</w:t>
      </w:r>
      <w:hyperlink w:history="1" r:id="rId8">
        <w:r w:rsidRPr="00685A4E" w:rsidR="00115DFB">
          <w:rPr>
            <w:rStyle w:val="Hipervnculo"/>
            <w:rFonts w:asciiTheme="minorHAnsi" w:hAnsiTheme="minorHAnsi" w:cstheme="minorHAnsi"/>
            <w:bCs/>
            <w:sz w:val="20"/>
            <w:szCs w:val="20"/>
          </w:rPr>
          <w:t>aortiz@fjd.es</w:t>
        </w:r>
      </w:hyperlink>
      <w:r w:rsidRPr="00685A4E" w:rsidR="00E5315E">
        <w:rPr>
          <w:rFonts w:asciiTheme="minorHAnsi" w:hAnsiTheme="minorHAnsi" w:cstheme="minorHAnsi"/>
          <w:bCs/>
          <w:color w:val="auto"/>
          <w:sz w:val="20"/>
          <w:szCs w:val="20"/>
        </w:rPr>
        <w:t>)</w:t>
      </w:r>
      <w:r w:rsidRPr="00685A4E" w:rsidR="00EA4A71">
        <w:rPr>
          <w:rFonts w:asciiTheme="minorHAnsi" w:hAnsiTheme="minorHAnsi" w:cstheme="minorHAnsi"/>
          <w:bCs/>
          <w:color w:val="auto"/>
          <w:sz w:val="20"/>
          <w:szCs w:val="20"/>
        </w:rPr>
        <w:t>.</w:t>
      </w:r>
    </w:p>
    <w:p w:rsidRPr="00685A4E" w:rsidR="008F0CD2" w:rsidP="00685A4E" w:rsidRDefault="008F0CD2" w14:paraId="10F2FF70" w14:textId="7DB00D4A">
      <w:pPr>
        <w:pStyle w:val="Default"/>
        <w:jc w:val="both"/>
        <w:rPr>
          <w:rFonts w:asciiTheme="minorHAnsi" w:hAnsiTheme="minorHAnsi" w:cstheme="minorHAnsi"/>
          <w:bCs/>
          <w:color w:val="auto"/>
          <w:sz w:val="20"/>
          <w:szCs w:val="20"/>
        </w:rPr>
      </w:pPr>
      <w:proofErr w:type="spellStart"/>
      <w:r w:rsidRPr="00685A4E">
        <w:rPr>
          <w:rFonts w:asciiTheme="minorHAnsi" w:hAnsiTheme="minorHAnsi" w:cstheme="minorHAnsi"/>
          <w:b/>
          <w:color w:val="auto"/>
          <w:sz w:val="20"/>
          <w:szCs w:val="20"/>
        </w:rPr>
        <w:t>Maria</w:t>
      </w:r>
      <w:proofErr w:type="spellEnd"/>
      <w:r w:rsidRPr="00685A4E">
        <w:rPr>
          <w:rFonts w:asciiTheme="minorHAnsi" w:hAnsiTheme="minorHAnsi" w:cstheme="minorHAnsi"/>
          <w:b/>
          <w:color w:val="auto"/>
          <w:sz w:val="20"/>
          <w:szCs w:val="20"/>
        </w:rPr>
        <w:t xml:space="preserve"> Vanessa Pérez</w:t>
      </w:r>
      <w:r w:rsidRPr="00685A4E" w:rsidR="00B00447">
        <w:rPr>
          <w:rFonts w:asciiTheme="minorHAnsi" w:hAnsiTheme="minorHAnsi" w:cstheme="minorHAnsi"/>
          <w:b/>
          <w:color w:val="auto"/>
          <w:sz w:val="20"/>
          <w:szCs w:val="20"/>
        </w:rPr>
        <w:t xml:space="preserve"> </w:t>
      </w:r>
      <w:proofErr w:type="spellStart"/>
      <w:r w:rsidRPr="00685A4E" w:rsidR="00B00447">
        <w:rPr>
          <w:rFonts w:asciiTheme="minorHAnsi" w:hAnsiTheme="minorHAnsi" w:cstheme="minorHAnsi"/>
          <w:b/>
          <w:color w:val="auto"/>
          <w:sz w:val="20"/>
          <w:szCs w:val="20"/>
        </w:rPr>
        <w:t>Gomez</w:t>
      </w:r>
      <w:proofErr w:type="spellEnd"/>
      <w:r w:rsidRPr="00685A4E" w:rsidR="00B00447">
        <w:rPr>
          <w:rFonts w:asciiTheme="minorHAnsi" w:hAnsiTheme="minorHAnsi" w:cstheme="minorHAnsi"/>
          <w:bCs/>
          <w:color w:val="auto"/>
          <w:sz w:val="20"/>
          <w:szCs w:val="20"/>
        </w:rPr>
        <w:t>,</w:t>
      </w:r>
      <w:r w:rsidRPr="00685A4E">
        <w:rPr>
          <w:rFonts w:asciiTheme="minorHAnsi" w:hAnsiTheme="minorHAnsi" w:cstheme="minorHAnsi"/>
          <w:bCs/>
          <w:color w:val="auto"/>
          <w:sz w:val="20"/>
          <w:szCs w:val="20"/>
        </w:rPr>
        <w:t xml:space="preserve"> </w:t>
      </w:r>
      <w:r w:rsidRPr="00685A4E" w:rsidR="00B00447">
        <w:rPr>
          <w:rFonts w:asciiTheme="minorHAnsi" w:hAnsiTheme="minorHAnsi" w:cstheme="minorHAnsi"/>
          <w:bCs/>
          <w:color w:val="auto"/>
          <w:sz w:val="20"/>
          <w:szCs w:val="20"/>
        </w:rPr>
        <w:t>Servicio de Nefrología e Hipertensión del Hospital Universitario Fundación Jiménez Díaz de Madri</w:t>
      </w:r>
      <w:r w:rsidRPr="00685A4E" w:rsidR="00685A4E">
        <w:rPr>
          <w:rFonts w:asciiTheme="minorHAnsi" w:hAnsiTheme="minorHAnsi" w:cstheme="minorHAnsi"/>
          <w:bCs/>
          <w:color w:val="auto"/>
          <w:sz w:val="20"/>
          <w:szCs w:val="20"/>
        </w:rPr>
        <w:t>d (</w:t>
      </w:r>
      <w:r w:rsidRPr="00685A4E">
        <w:rPr>
          <w:rFonts w:asciiTheme="minorHAnsi" w:hAnsiTheme="minorHAnsi" w:cstheme="minorHAnsi"/>
          <w:bCs/>
          <w:color w:val="auto"/>
          <w:sz w:val="20"/>
          <w:szCs w:val="20"/>
        </w:rPr>
        <w:t>mvanessa@fjd.es</w:t>
      </w:r>
    </w:p>
    <w:p w:rsidRPr="00685A4E" w:rsidR="00EA4A71" w:rsidP="00685A4E" w:rsidRDefault="00EA4A71" w14:paraId="6324EBD4" w14:textId="77777777">
      <w:pPr>
        <w:pStyle w:val="Default"/>
        <w:jc w:val="both"/>
        <w:rPr>
          <w:rFonts w:asciiTheme="minorHAnsi" w:hAnsiTheme="minorHAnsi" w:cstheme="minorHAnsi"/>
          <w:bCs/>
          <w:color w:val="auto"/>
          <w:sz w:val="20"/>
          <w:szCs w:val="20"/>
        </w:rPr>
      </w:pPr>
      <w:r w:rsidRPr="00685A4E">
        <w:rPr>
          <w:rFonts w:asciiTheme="minorHAnsi" w:hAnsiTheme="minorHAnsi" w:cstheme="minorHAnsi"/>
          <w:bCs/>
          <w:color w:val="auto"/>
          <w:sz w:val="20"/>
          <w:szCs w:val="20"/>
        </w:rPr>
        <w:t xml:space="preserve">Como investigadores representantes de los centros del grupo </w:t>
      </w:r>
      <w:proofErr w:type="spellStart"/>
      <w:r w:rsidRPr="00685A4E">
        <w:rPr>
          <w:rFonts w:asciiTheme="minorHAnsi" w:hAnsiTheme="minorHAnsi" w:cstheme="minorHAnsi"/>
          <w:bCs/>
          <w:color w:val="auto"/>
          <w:sz w:val="20"/>
          <w:szCs w:val="20"/>
        </w:rPr>
        <w:t>quironsalud</w:t>
      </w:r>
      <w:proofErr w:type="spellEnd"/>
      <w:r w:rsidRPr="00685A4E">
        <w:rPr>
          <w:rFonts w:asciiTheme="minorHAnsi" w:hAnsiTheme="minorHAnsi" w:cstheme="minorHAnsi"/>
          <w:bCs/>
          <w:color w:val="auto"/>
          <w:sz w:val="20"/>
          <w:szCs w:val="20"/>
        </w:rPr>
        <w:t xml:space="preserve"> actuaran:</w:t>
      </w:r>
    </w:p>
    <w:p w:rsidRPr="00685A4E" w:rsidR="00786B04" w:rsidP="00685A4E" w:rsidRDefault="00EA4A71" w14:paraId="1A780BCB" w14:textId="63F7E543">
      <w:pPr>
        <w:pStyle w:val="Default"/>
        <w:numPr>
          <w:ilvl w:val="0"/>
          <w:numId w:val="19"/>
        </w:numPr>
        <w:jc w:val="both"/>
        <w:rPr>
          <w:rFonts w:asciiTheme="minorHAnsi" w:hAnsiTheme="minorHAnsi" w:cstheme="minorHAnsi"/>
          <w:bCs/>
          <w:color w:val="auto"/>
          <w:sz w:val="20"/>
          <w:szCs w:val="20"/>
        </w:rPr>
      </w:pPr>
      <w:r w:rsidRPr="00685A4E">
        <w:rPr>
          <w:rFonts w:asciiTheme="minorHAnsi" w:hAnsiTheme="minorHAnsi" w:cstheme="minorHAnsi"/>
          <w:bCs/>
          <w:color w:val="auto"/>
          <w:sz w:val="20"/>
          <w:szCs w:val="20"/>
        </w:rPr>
        <w:t xml:space="preserve">Hospital Universitario Fundación Jiménez Díaz, </w:t>
      </w:r>
      <w:proofErr w:type="spellStart"/>
      <w:r w:rsidRPr="00685A4E">
        <w:rPr>
          <w:rFonts w:asciiTheme="minorHAnsi" w:hAnsiTheme="minorHAnsi" w:cstheme="minorHAnsi"/>
          <w:bCs/>
          <w:color w:val="auto"/>
          <w:sz w:val="20"/>
          <w:szCs w:val="20"/>
        </w:rPr>
        <w:t>Maria</w:t>
      </w:r>
      <w:proofErr w:type="spellEnd"/>
      <w:r w:rsidRPr="00685A4E">
        <w:rPr>
          <w:rFonts w:asciiTheme="minorHAnsi" w:hAnsiTheme="minorHAnsi" w:cstheme="minorHAnsi"/>
          <w:bCs/>
          <w:color w:val="auto"/>
          <w:sz w:val="20"/>
          <w:szCs w:val="20"/>
        </w:rPr>
        <w:t xml:space="preserve"> Vanessa Pérez</w:t>
      </w:r>
      <w:r w:rsidRPr="00685A4E" w:rsidR="00B00447">
        <w:rPr>
          <w:rFonts w:asciiTheme="minorHAnsi" w:hAnsiTheme="minorHAnsi" w:cstheme="minorHAnsi"/>
          <w:bCs/>
          <w:color w:val="auto"/>
          <w:sz w:val="20"/>
          <w:szCs w:val="20"/>
        </w:rPr>
        <w:t xml:space="preserve"> Gómez</w:t>
      </w:r>
      <w:r w:rsidRPr="00685A4E">
        <w:rPr>
          <w:rFonts w:asciiTheme="minorHAnsi" w:hAnsiTheme="minorHAnsi" w:cstheme="minorHAnsi"/>
          <w:bCs/>
          <w:color w:val="auto"/>
          <w:sz w:val="20"/>
          <w:szCs w:val="20"/>
        </w:rPr>
        <w:t xml:space="preserve"> </w:t>
      </w:r>
      <w:hyperlink w:history="1" r:id="rId9">
        <w:r w:rsidRPr="00685A4E">
          <w:rPr>
            <w:rStyle w:val="Hipervnculo"/>
            <w:rFonts w:asciiTheme="minorHAnsi" w:hAnsiTheme="minorHAnsi" w:cstheme="minorHAnsi"/>
            <w:bCs/>
            <w:sz w:val="20"/>
            <w:szCs w:val="20"/>
          </w:rPr>
          <w:t>mvanessa@fjd.es</w:t>
        </w:r>
      </w:hyperlink>
      <w:r w:rsidRPr="00685A4E">
        <w:rPr>
          <w:rFonts w:asciiTheme="minorHAnsi" w:hAnsiTheme="minorHAnsi" w:cstheme="minorHAnsi"/>
          <w:bCs/>
          <w:color w:val="auto"/>
          <w:sz w:val="20"/>
          <w:szCs w:val="20"/>
        </w:rPr>
        <w:t xml:space="preserve">  y Elena Goma Garces </w:t>
      </w:r>
      <w:hyperlink w:history="1" r:id="rId10">
        <w:r w:rsidRPr="00685A4E">
          <w:rPr>
            <w:rStyle w:val="Hipervnculo"/>
            <w:rFonts w:asciiTheme="minorHAnsi" w:hAnsiTheme="minorHAnsi" w:cstheme="minorHAnsi"/>
            <w:bCs/>
            <w:sz w:val="20"/>
            <w:szCs w:val="20"/>
          </w:rPr>
          <w:t>elena.goma@quironsalud.es</w:t>
        </w:r>
      </w:hyperlink>
    </w:p>
    <w:p w:rsidRPr="00685A4E" w:rsidR="00786B04" w:rsidP="00685A4E" w:rsidRDefault="00EA4A71" w14:paraId="0A69342E" w14:textId="77777777">
      <w:pPr>
        <w:pStyle w:val="Default"/>
        <w:numPr>
          <w:ilvl w:val="0"/>
          <w:numId w:val="19"/>
        </w:numPr>
        <w:jc w:val="both"/>
        <w:rPr>
          <w:rFonts w:asciiTheme="minorHAnsi" w:hAnsiTheme="minorHAnsi" w:cstheme="minorHAnsi"/>
          <w:bCs/>
          <w:color w:val="auto"/>
          <w:sz w:val="20"/>
          <w:szCs w:val="20"/>
        </w:rPr>
      </w:pPr>
      <w:r w:rsidRPr="00685A4E">
        <w:rPr>
          <w:rFonts w:asciiTheme="minorHAnsi" w:hAnsiTheme="minorHAnsi" w:cstheme="minorHAnsi"/>
          <w:bCs/>
          <w:color w:val="auto"/>
          <w:sz w:val="20"/>
          <w:szCs w:val="20"/>
        </w:rPr>
        <w:t xml:space="preserve">Hospital General de Villalba: Beatriz </w:t>
      </w:r>
      <w:proofErr w:type="spellStart"/>
      <w:r w:rsidRPr="00685A4E">
        <w:rPr>
          <w:rFonts w:asciiTheme="minorHAnsi" w:hAnsiTheme="minorHAnsi" w:cstheme="minorHAnsi"/>
          <w:bCs/>
          <w:color w:val="auto"/>
          <w:sz w:val="20"/>
          <w:szCs w:val="20"/>
        </w:rPr>
        <w:t>Maria</w:t>
      </w:r>
      <w:proofErr w:type="spellEnd"/>
      <w:r w:rsidRPr="00685A4E">
        <w:rPr>
          <w:rFonts w:asciiTheme="minorHAnsi" w:hAnsiTheme="minorHAnsi" w:cstheme="minorHAnsi"/>
          <w:bCs/>
          <w:color w:val="auto"/>
          <w:sz w:val="20"/>
          <w:szCs w:val="20"/>
        </w:rPr>
        <w:t xml:space="preserve"> Dura </w:t>
      </w:r>
      <w:proofErr w:type="spellStart"/>
      <w:r w:rsidRPr="00685A4E">
        <w:rPr>
          <w:rFonts w:asciiTheme="minorHAnsi" w:hAnsiTheme="minorHAnsi" w:cstheme="minorHAnsi"/>
          <w:bCs/>
          <w:color w:val="auto"/>
          <w:sz w:val="20"/>
          <w:szCs w:val="20"/>
        </w:rPr>
        <w:t>Gurpide</w:t>
      </w:r>
      <w:proofErr w:type="spellEnd"/>
      <w:r w:rsidRPr="00685A4E">
        <w:rPr>
          <w:rFonts w:asciiTheme="minorHAnsi" w:hAnsiTheme="minorHAnsi" w:cstheme="minorHAnsi"/>
          <w:bCs/>
          <w:color w:val="auto"/>
          <w:sz w:val="20"/>
          <w:szCs w:val="20"/>
        </w:rPr>
        <w:t xml:space="preserve"> </w:t>
      </w:r>
      <w:hyperlink w:history="1" r:id="rId11">
        <w:r w:rsidRPr="00685A4E">
          <w:rPr>
            <w:rStyle w:val="Hipervnculo"/>
            <w:rFonts w:asciiTheme="minorHAnsi" w:hAnsiTheme="minorHAnsi" w:cstheme="minorHAnsi"/>
            <w:bCs/>
            <w:sz w:val="20"/>
            <w:szCs w:val="20"/>
          </w:rPr>
          <w:t>beatriz.durag@quironsalud.es</w:t>
        </w:r>
      </w:hyperlink>
    </w:p>
    <w:p w:rsidRPr="00685A4E" w:rsidR="00786B04" w:rsidP="00685A4E" w:rsidRDefault="00EA4A71" w14:paraId="01037C7E" w14:textId="77777777">
      <w:pPr>
        <w:pStyle w:val="Default"/>
        <w:numPr>
          <w:ilvl w:val="0"/>
          <w:numId w:val="19"/>
        </w:numPr>
        <w:jc w:val="both"/>
        <w:rPr>
          <w:rFonts w:asciiTheme="minorHAnsi" w:hAnsiTheme="minorHAnsi" w:cstheme="minorHAnsi"/>
          <w:bCs/>
          <w:color w:val="auto"/>
          <w:sz w:val="20"/>
          <w:szCs w:val="20"/>
        </w:rPr>
      </w:pPr>
      <w:r w:rsidRPr="00685A4E">
        <w:rPr>
          <w:rFonts w:asciiTheme="minorHAnsi" w:hAnsiTheme="minorHAnsi" w:cstheme="minorHAnsi"/>
          <w:bCs/>
          <w:color w:val="auto"/>
          <w:sz w:val="20"/>
          <w:szCs w:val="20"/>
        </w:rPr>
        <w:t xml:space="preserve">Hospital Rey Juan Carlos: María López </w:t>
      </w:r>
      <w:proofErr w:type="spellStart"/>
      <w:r w:rsidRPr="00685A4E">
        <w:rPr>
          <w:rFonts w:asciiTheme="minorHAnsi" w:hAnsiTheme="minorHAnsi" w:cstheme="minorHAnsi"/>
          <w:bCs/>
          <w:color w:val="auto"/>
          <w:sz w:val="20"/>
          <w:szCs w:val="20"/>
        </w:rPr>
        <w:t>Picaso</w:t>
      </w:r>
      <w:proofErr w:type="spellEnd"/>
      <w:r w:rsidRPr="00685A4E">
        <w:rPr>
          <w:rFonts w:asciiTheme="minorHAnsi" w:hAnsiTheme="minorHAnsi" w:cstheme="minorHAnsi"/>
          <w:bCs/>
          <w:color w:val="auto"/>
          <w:sz w:val="20"/>
          <w:szCs w:val="20"/>
        </w:rPr>
        <w:t xml:space="preserve"> maria.lopez@hospitalreyjuancarlos.es</w:t>
      </w:r>
    </w:p>
    <w:p w:rsidRPr="00685A4E" w:rsidR="00786B04" w:rsidP="00685A4E" w:rsidRDefault="00EA4A71" w14:paraId="7DCB8E97" w14:textId="77777777">
      <w:pPr>
        <w:pStyle w:val="Default"/>
        <w:numPr>
          <w:ilvl w:val="0"/>
          <w:numId w:val="19"/>
        </w:numPr>
        <w:jc w:val="both"/>
        <w:rPr>
          <w:rFonts w:asciiTheme="minorHAnsi" w:hAnsiTheme="minorHAnsi" w:cstheme="minorHAnsi"/>
          <w:bCs/>
          <w:color w:val="auto"/>
          <w:sz w:val="20"/>
          <w:szCs w:val="20"/>
        </w:rPr>
      </w:pPr>
      <w:r w:rsidRPr="00685A4E">
        <w:rPr>
          <w:rFonts w:asciiTheme="minorHAnsi" w:hAnsiTheme="minorHAnsi" w:cstheme="minorHAnsi"/>
          <w:bCs/>
          <w:color w:val="auto"/>
          <w:sz w:val="20"/>
          <w:szCs w:val="20"/>
        </w:rPr>
        <w:t xml:space="preserve">Hospital Infanta Elena: Raquel Esteras Rubio  </w:t>
      </w:r>
      <w:hyperlink w:history="1" r:id="rId12">
        <w:r w:rsidRPr="00685A4E">
          <w:rPr>
            <w:rStyle w:val="Hipervnculo"/>
            <w:rFonts w:asciiTheme="minorHAnsi" w:hAnsiTheme="minorHAnsi" w:cstheme="minorHAnsi"/>
            <w:bCs/>
            <w:sz w:val="20"/>
            <w:szCs w:val="20"/>
          </w:rPr>
          <w:t>raquel.esteras@quironsalud.es</w:t>
        </w:r>
      </w:hyperlink>
    </w:p>
    <w:p w:rsidRPr="00685A4E" w:rsidR="00201B51" w:rsidP="00685A4E" w:rsidRDefault="008F0CD2" w14:paraId="3D0574F7" w14:textId="19A2CFB6">
      <w:pPr>
        <w:pStyle w:val="Default"/>
        <w:jc w:val="both"/>
        <w:rPr>
          <w:rFonts w:asciiTheme="minorHAnsi" w:hAnsiTheme="minorHAnsi" w:cstheme="minorHAnsi"/>
          <w:bCs/>
          <w:color w:val="auto"/>
          <w:sz w:val="20"/>
          <w:szCs w:val="20"/>
        </w:rPr>
      </w:pPr>
      <w:r w:rsidRPr="00685A4E">
        <w:rPr>
          <w:rFonts w:asciiTheme="minorHAnsi" w:hAnsiTheme="minorHAnsi" w:cstheme="minorHAnsi"/>
          <w:b/>
          <w:color w:val="auto"/>
          <w:sz w:val="20"/>
          <w:szCs w:val="20"/>
        </w:rPr>
        <w:t xml:space="preserve">Eduardo </w:t>
      </w:r>
      <w:r w:rsidRPr="00685A4E" w:rsidR="00685A4E">
        <w:rPr>
          <w:rFonts w:asciiTheme="minorHAnsi" w:hAnsiTheme="minorHAnsi" w:cstheme="minorHAnsi"/>
          <w:b/>
          <w:color w:val="auto"/>
          <w:sz w:val="20"/>
          <w:szCs w:val="20"/>
        </w:rPr>
        <w:t>Gutiérrez</w:t>
      </w:r>
      <w:bookmarkEnd w:id="0"/>
      <w:r w:rsidRPr="00685A4E" w:rsidR="00201B51">
        <w:rPr>
          <w:rFonts w:asciiTheme="minorHAnsi" w:hAnsiTheme="minorHAnsi" w:cstheme="minorHAnsi"/>
          <w:bCs/>
          <w:color w:val="auto"/>
          <w:sz w:val="20"/>
          <w:szCs w:val="20"/>
        </w:rPr>
        <w:t xml:space="preserve">, </w:t>
      </w:r>
      <w:r w:rsidRPr="00685A4E">
        <w:rPr>
          <w:rFonts w:asciiTheme="minorHAnsi" w:hAnsiTheme="minorHAnsi" w:cstheme="minorHAnsi"/>
          <w:bCs/>
          <w:color w:val="auto"/>
          <w:sz w:val="20"/>
          <w:szCs w:val="20"/>
        </w:rPr>
        <w:t>Servicio de Nefrología del Hospital Universitario</w:t>
      </w:r>
      <w:r w:rsidRPr="00685A4E" w:rsidR="00201B51">
        <w:rPr>
          <w:rFonts w:asciiTheme="minorHAnsi" w:hAnsiTheme="minorHAnsi" w:cstheme="minorHAnsi"/>
          <w:bCs/>
          <w:color w:val="auto"/>
          <w:sz w:val="20"/>
          <w:szCs w:val="20"/>
        </w:rPr>
        <w:t xml:space="preserve"> </w:t>
      </w:r>
      <w:r w:rsidRPr="00685A4E">
        <w:rPr>
          <w:rFonts w:asciiTheme="minorHAnsi" w:hAnsiTheme="minorHAnsi" w:cstheme="minorHAnsi"/>
          <w:bCs/>
          <w:color w:val="auto"/>
          <w:sz w:val="20"/>
          <w:szCs w:val="20"/>
        </w:rPr>
        <w:t xml:space="preserve">12 de </w:t>
      </w:r>
      <w:proofErr w:type="gramStart"/>
      <w:r w:rsidRPr="00685A4E">
        <w:rPr>
          <w:rFonts w:asciiTheme="minorHAnsi" w:hAnsiTheme="minorHAnsi" w:cstheme="minorHAnsi"/>
          <w:bCs/>
          <w:color w:val="auto"/>
          <w:sz w:val="20"/>
          <w:szCs w:val="20"/>
        </w:rPr>
        <w:t>Octubre</w:t>
      </w:r>
      <w:proofErr w:type="gramEnd"/>
      <w:r w:rsidRPr="00685A4E">
        <w:rPr>
          <w:rFonts w:asciiTheme="minorHAnsi" w:hAnsiTheme="minorHAnsi" w:cstheme="minorHAnsi"/>
          <w:bCs/>
          <w:color w:val="auto"/>
          <w:sz w:val="20"/>
          <w:szCs w:val="20"/>
        </w:rPr>
        <w:t xml:space="preserve"> </w:t>
      </w:r>
      <w:r w:rsidRPr="00685A4E" w:rsidR="00201B51">
        <w:rPr>
          <w:rFonts w:asciiTheme="minorHAnsi" w:hAnsiTheme="minorHAnsi" w:cstheme="minorHAnsi"/>
          <w:bCs/>
          <w:color w:val="auto"/>
          <w:sz w:val="20"/>
          <w:szCs w:val="20"/>
        </w:rPr>
        <w:t>(</w:t>
      </w:r>
      <w:r w:rsidRPr="00685A4E" w:rsidR="00685A4E">
        <w:rPr>
          <w:rFonts w:asciiTheme="minorHAnsi" w:hAnsiTheme="minorHAnsi" w:cstheme="minorHAnsi"/>
          <w:sz w:val="20"/>
          <w:szCs w:val="20"/>
        </w:rPr>
        <w:t>eduardogutmat90@gmail.com</w:t>
      </w:r>
      <w:r w:rsidRPr="00685A4E" w:rsidR="00201B51">
        <w:rPr>
          <w:rFonts w:asciiTheme="minorHAnsi" w:hAnsiTheme="minorHAnsi" w:cstheme="minorHAnsi"/>
          <w:bCs/>
          <w:color w:val="auto"/>
          <w:sz w:val="20"/>
          <w:szCs w:val="20"/>
        </w:rPr>
        <w:t>)</w:t>
      </w:r>
    </w:p>
    <w:bookmarkEnd w:id="1"/>
    <w:p w:rsidRPr="00685A4E" w:rsidR="00201B51" w:rsidP="00685A4E" w:rsidRDefault="00201B51" w14:paraId="1564EB52" w14:textId="77777777">
      <w:pPr>
        <w:pStyle w:val="Default"/>
        <w:jc w:val="both"/>
        <w:rPr>
          <w:rFonts w:asciiTheme="minorHAnsi" w:hAnsiTheme="minorHAnsi" w:cstheme="minorHAnsi"/>
          <w:bCs/>
          <w:color w:val="auto"/>
          <w:sz w:val="20"/>
          <w:szCs w:val="20"/>
        </w:rPr>
      </w:pPr>
    </w:p>
    <w:p w:rsidRPr="00685A4E" w:rsidR="00D24EA3" w:rsidP="00685A4E" w:rsidRDefault="00D24EA3" w14:paraId="5BA4561F" w14:textId="77777777">
      <w:pPr>
        <w:pStyle w:val="Default"/>
        <w:jc w:val="both"/>
        <w:rPr>
          <w:rFonts w:asciiTheme="minorHAnsi" w:hAnsiTheme="minorHAnsi" w:cstheme="minorHAnsi"/>
          <w:bCs/>
          <w:color w:val="auto"/>
          <w:sz w:val="20"/>
          <w:szCs w:val="20"/>
        </w:rPr>
      </w:pPr>
    </w:p>
    <w:p w:rsidRPr="00685A4E" w:rsidR="00D24EA3" w:rsidP="00685A4E" w:rsidRDefault="00D24EA3" w14:paraId="4A88B8FB" w14:textId="77777777">
      <w:pPr>
        <w:pStyle w:val="Default"/>
        <w:jc w:val="both"/>
        <w:rPr>
          <w:rFonts w:asciiTheme="minorHAnsi" w:hAnsiTheme="minorHAnsi" w:cstheme="minorHAnsi"/>
          <w:bCs/>
          <w:color w:val="auto"/>
          <w:sz w:val="20"/>
          <w:szCs w:val="20"/>
        </w:rPr>
      </w:pPr>
    </w:p>
    <w:p w:rsidRPr="00685A4E" w:rsidR="00445BA2" w:rsidP="00685A4E" w:rsidRDefault="00E263C8" w14:paraId="7A2D473A"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2</w:t>
      </w:r>
      <w:r w:rsidRPr="00685A4E">
        <w:rPr>
          <w:rFonts w:asciiTheme="minorHAnsi" w:hAnsiTheme="minorHAnsi" w:cstheme="minorHAnsi"/>
          <w:b/>
          <w:bCs/>
          <w:color w:val="auto"/>
          <w:sz w:val="20"/>
          <w:szCs w:val="20"/>
        </w:rPr>
        <w:tab/>
      </w:r>
      <w:proofErr w:type="gramStart"/>
      <w:r w:rsidRPr="00685A4E">
        <w:rPr>
          <w:rFonts w:asciiTheme="minorHAnsi" w:hAnsiTheme="minorHAnsi" w:cstheme="minorHAnsi"/>
          <w:b/>
          <w:bCs/>
          <w:color w:val="auto"/>
          <w:sz w:val="20"/>
          <w:szCs w:val="20"/>
        </w:rPr>
        <w:t>Justificación</w:t>
      </w:r>
      <w:proofErr w:type="gramEnd"/>
      <w:r w:rsidRPr="00685A4E" w:rsidR="00445BA2">
        <w:rPr>
          <w:rFonts w:asciiTheme="minorHAnsi" w:hAnsiTheme="minorHAnsi" w:cstheme="minorHAnsi"/>
          <w:b/>
          <w:bCs/>
          <w:color w:val="auto"/>
          <w:sz w:val="20"/>
          <w:szCs w:val="20"/>
        </w:rPr>
        <w:t>:</w:t>
      </w:r>
    </w:p>
    <w:p w:rsidRPr="00685A4E" w:rsidR="00445BA2" w:rsidP="00685A4E" w:rsidRDefault="00772426" w14:paraId="3612784D" w14:textId="77777777">
      <w:pPr>
        <w:autoSpaceDE w:val="0"/>
        <w:autoSpaceDN w:val="0"/>
        <w:adjustRightInd w:val="0"/>
        <w:jc w:val="both"/>
        <w:rPr>
          <w:rFonts w:eastAsia="Calibri" w:asciiTheme="minorHAnsi" w:hAnsiTheme="minorHAnsi" w:cstheme="minorHAnsi"/>
          <w:sz w:val="20"/>
          <w:lang w:val="es-ES"/>
        </w:rPr>
      </w:pPr>
      <w:r w:rsidRPr="00685A4E">
        <w:rPr>
          <w:rFonts w:eastAsia="Calibri" w:asciiTheme="minorHAnsi" w:hAnsiTheme="minorHAnsi" w:cstheme="minorHAnsi"/>
          <w:b/>
          <w:bCs/>
          <w:sz w:val="20"/>
          <w:u w:val="single"/>
          <w:lang w:val="es-ES"/>
        </w:rPr>
        <w:t>Enfermedad renal avanzada de etiología desconocida: carga de mortalidad, morbilidad y discapacidad.</w:t>
      </w:r>
    </w:p>
    <w:p w:rsidRPr="00685A4E" w:rsidR="00427E44" w:rsidP="00685A4E" w:rsidRDefault="00772426" w14:paraId="7D9E021A" w14:textId="127D0F50">
      <w:pPr>
        <w:autoSpaceDE w:val="0"/>
        <w:autoSpaceDN w:val="0"/>
        <w:adjustRightInd w:val="0"/>
        <w:jc w:val="both"/>
        <w:rPr>
          <w:rFonts w:eastAsia="Calibri" w:asciiTheme="minorHAnsi" w:hAnsiTheme="minorHAnsi" w:cstheme="minorHAnsi"/>
          <w:sz w:val="20"/>
          <w:lang w:val="es-ES"/>
        </w:rPr>
      </w:pPr>
      <w:r w:rsidRPr="00685A4E">
        <w:rPr>
          <w:rFonts w:eastAsia="Calibri" w:asciiTheme="minorHAnsi" w:hAnsiTheme="minorHAnsi" w:cstheme="minorHAnsi"/>
          <w:sz w:val="20"/>
          <w:lang w:val="es-ES"/>
        </w:rPr>
        <w:t>La enfermedad renal crónica (ERC) afecta a un porcentaje cada vez mayor de la población mundial, mermando la calidad de vida y teniendo además un impacto socioeconómico muy importante. A pesar de los avances recientes en el diagnóstico histológico y el desarrollo de biomarcadores, un porcentaje significativo de pacientes sin diagnóstico aún alcanzan el estadio G5 de ERC (tasa de filtración glomerular estimada inferior a 15 ml/min). Los datos del registro europeo de la</w:t>
      </w:r>
      <w:r w:rsidRPr="00685A4E" w:rsidR="00115DFB">
        <w:rPr>
          <w:rFonts w:eastAsia="Calibri" w:asciiTheme="minorHAnsi" w:hAnsiTheme="minorHAnsi" w:cstheme="minorHAnsi"/>
          <w:sz w:val="20"/>
          <w:lang w:val="es-ES"/>
        </w:rPr>
        <w:t xml:space="preserve"> </w:t>
      </w:r>
      <w:proofErr w:type="spellStart"/>
      <w:r w:rsidRPr="00685A4E">
        <w:rPr>
          <w:rFonts w:eastAsia="Calibri" w:asciiTheme="minorHAnsi" w:hAnsiTheme="minorHAnsi" w:cstheme="minorHAnsi"/>
          <w:i/>
          <w:iCs/>
          <w:sz w:val="20"/>
          <w:lang w:val="es-ES"/>
        </w:rPr>
        <w:t>European</w:t>
      </w:r>
      <w:proofErr w:type="spellEnd"/>
      <w:r w:rsidRPr="00685A4E">
        <w:rPr>
          <w:rFonts w:eastAsia="Calibri" w:asciiTheme="minorHAnsi" w:hAnsiTheme="minorHAnsi" w:cstheme="minorHAnsi"/>
          <w:i/>
          <w:iCs/>
          <w:sz w:val="20"/>
          <w:lang w:val="es-ES"/>
        </w:rPr>
        <w:t xml:space="preserve"> Renal </w:t>
      </w:r>
      <w:proofErr w:type="spellStart"/>
      <w:r w:rsidRPr="00685A4E">
        <w:rPr>
          <w:rFonts w:eastAsia="Calibri" w:asciiTheme="minorHAnsi" w:hAnsiTheme="minorHAnsi" w:cstheme="minorHAnsi"/>
          <w:i/>
          <w:iCs/>
          <w:sz w:val="20"/>
          <w:lang w:val="es-ES"/>
        </w:rPr>
        <w:t>Association</w:t>
      </w:r>
      <w:proofErr w:type="spellEnd"/>
      <w:r w:rsidRPr="00685A4E">
        <w:rPr>
          <w:rFonts w:eastAsia="Calibri" w:asciiTheme="minorHAnsi" w:hAnsiTheme="minorHAnsi" w:cstheme="minorHAnsi"/>
          <w:sz w:val="20"/>
          <w:lang w:val="es-ES"/>
        </w:rPr>
        <w:t xml:space="preserve"> (ERA) indican que este porcentaje llega al 27% entre los pacientes que están en tratamiento renal sustitutivo (TRS). También hay que destacar que junto a un alto porcentaje de pacientes que están en TRS sin diagnóstico etiológico, algunos de los pacientes diagnosticados de nefropatía diabética, glomerulopatía inespecífica o nefropatía hipertensiva presentan posteriormente un diagnóstico erróneo.</w:t>
      </w:r>
    </w:p>
    <w:p w:rsidRPr="00685A4E" w:rsidR="00445BA2" w:rsidP="00685A4E" w:rsidRDefault="00445BA2" w14:paraId="31C3A15F" w14:textId="77777777">
      <w:pPr>
        <w:autoSpaceDE w:val="0"/>
        <w:autoSpaceDN w:val="0"/>
        <w:adjustRightInd w:val="0"/>
        <w:jc w:val="both"/>
        <w:rPr>
          <w:rFonts w:eastAsia="Calibri" w:asciiTheme="minorHAnsi" w:hAnsiTheme="minorHAnsi" w:cstheme="minorHAnsi"/>
          <w:sz w:val="20"/>
          <w:lang w:val="es-ES"/>
        </w:rPr>
      </w:pPr>
    </w:p>
    <w:p w:rsidRPr="00685A4E" w:rsidR="004D6261" w:rsidP="00685A4E" w:rsidRDefault="00772426" w14:paraId="39129227" w14:textId="77777777">
      <w:pPr>
        <w:autoSpaceDE w:val="0"/>
        <w:autoSpaceDN w:val="0"/>
        <w:adjustRightInd w:val="0"/>
        <w:jc w:val="both"/>
        <w:rPr>
          <w:rFonts w:eastAsia="Calibri" w:asciiTheme="minorHAnsi" w:hAnsiTheme="minorHAnsi" w:cstheme="minorHAnsi"/>
          <w:sz w:val="20"/>
          <w:lang w:val="es-ES"/>
        </w:rPr>
      </w:pPr>
      <w:r w:rsidRPr="00685A4E">
        <w:rPr>
          <w:rFonts w:eastAsia="Calibri" w:asciiTheme="minorHAnsi" w:hAnsiTheme="minorHAnsi" w:cstheme="minorHAnsi"/>
          <w:b/>
          <w:bCs/>
          <w:sz w:val="20"/>
          <w:u w:val="single"/>
          <w:lang w:val="es-ES"/>
        </w:rPr>
        <w:t>Alcance del proyecto</w:t>
      </w:r>
    </w:p>
    <w:p w:rsidRPr="00685A4E" w:rsidR="000B3F59" w:rsidP="00685A4E" w:rsidRDefault="000B3F59" w14:paraId="187DB770" w14:textId="77777777">
      <w:pPr>
        <w:autoSpaceDE w:val="0"/>
        <w:autoSpaceDN w:val="0"/>
        <w:adjustRightInd w:val="0"/>
        <w:jc w:val="both"/>
        <w:rPr>
          <w:rFonts w:eastAsia="Calibri" w:asciiTheme="minorHAnsi" w:hAnsiTheme="minorHAnsi" w:cstheme="minorHAnsi"/>
          <w:color w:val="000000"/>
          <w:sz w:val="20"/>
          <w:lang w:val="es-ES"/>
        </w:rPr>
      </w:pPr>
      <w:r w:rsidRPr="00685A4E">
        <w:rPr>
          <w:rFonts w:eastAsia="Calibri" w:asciiTheme="minorHAnsi" w:hAnsiTheme="minorHAnsi" w:cstheme="minorHAnsi"/>
          <w:color w:val="000000"/>
          <w:sz w:val="20"/>
          <w:lang w:val="es-ES"/>
        </w:rPr>
        <w:t>Actualmente, en nuestro medio (España), la segunda causa de ERC en pacientes que reciben TRS (64.666 pacientes prevalentes en 2020) es la “etiología desconocida”. La filiación exacta de la causa puede representar un gran avance en su manejo personalizado, ya que determinadas patologías pueden tener un tratamiento específico, los pacientes pueden participar en ensayos clínicos, se puede estudiar la afectación de otros órganos o sistemas en casos sindrómicos, así como la recurrencia de la enfermedad después del trasplante renal.</w:t>
      </w:r>
    </w:p>
    <w:p w:rsidRPr="00685A4E" w:rsidR="000B3F59" w:rsidP="00685A4E" w:rsidRDefault="000B3F59" w14:paraId="29F3124A" w14:textId="77777777">
      <w:pPr>
        <w:autoSpaceDE w:val="0"/>
        <w:autoSpaceDN w:val="0"/>
        <w:adjustRightInd w:val="0"/>
        <w:jc w:val="both"/>
        <w:rPr>
          <w:rFonts w:eastAsia="Calibri" w:asciiTheme="minorHAnsi" w:hAnsiTheme="minorHAnsi" w:cstheme="minorHAnsi"/>
          <w:color w:val="000000"/>
          <w:sz w:val="20"/>
          <w:lang w:val="es-ES"/>
        </w:rPr>
      </w:pPr>
    </w:p>
    <w:p w:rsidRPr="00685A4E" w:rsidR="00445BA2" w:rsidP="00685A4E" w:rsidRDefault="000B3F59" w14:paraId="6D11691C" w14:textId="77777777">
      <w:pPr>
        <w:autoSpaceDE w:val="0"/>
        <w:autoSpaceDN w:val="0"/>
        <w:adjustRightInd w:val="0"/>
        <w:jc w:val="both"/>
        <w:rPr>
          <w:rFonts w:eastAsia="Calibri" w:asciiTheme="minorHAnsi" w:hAnsiTheme="minorHAnsi" w:cstheme="minorHAnsi"/>
          <w:color w:val="000000"/>
          <w:sz w:val="20"/>
          <w:lang w:val="es-ES"/>
        </w:rPr>
      </w:pPr>
      <w:r w:rsidRPr="00685A4E">
        <w:rPr>
          <w:rFonts w:eastAsia="Calibri" w:asciiTheme="minorHAnsi" w:hAnsiTheme="minorHAnsi" w:cstheme="minorHAnsi"/>
          <w:color w:val="000000"/>
          <w:sz w:val="20"/>
          <w:lang w:val="es-ES"/>
        </w:rPr>
        <w:t>Por ello, realizar un estudio genético completo (análisis de exoma por secuenciación de nueva generación; evaluación de deleciones; detección de polimorfismos de riesgo; variaciones en el número de copias [</w:t>
      </w:r>
      <w:proofErr w:type="spellStart"/>
      <w:r w:rsidRPr="00685A4E">
        <w:rPr>
          <w:rFonts w:eastAsia="Calibri" w:asciiTheme="minorHAnsi" w:hAnsiTheme="minorHAnsi" w:cstheme="minorHAnsi"/>
          <w:color w:val="000000"/>
          <w:sz w:val="20"/>
          <w:lang w:val="es-ES"/>
        </w:rPr>
        <w:t>CNVs</w:t>
      </w:r>
      <w:proofErr w:type="spellEnd"/>
      <w:r w:rsidRPr="00685A4E">
        <w:rPr>
          <w:rFonts w:eastAsia="Calibri" w:asciiTheme="minorHAnsi" w:hAnsiTheme="minorHAnsi" w:cstheme="minorHAnsi"/>
          <w:color w:val="000000"/>
          <w:sz w:val="20"/>
          <w:lang w:val="es-ES"/>
        </w:rPr>
        <w:t>], etc.) en pacientes jóvenes con ERC de etiología desconocida puede representar un gran avance en la fisiopatología conocimiento de las enfermedades renales hereditarias en nuestro medio, así como ofrecer un manejo individualizado del paciente.</w:t>
      </w:r>
    </w:p>
    <w:p w:rsidRPr="00685A4E" w:rsidR="00445BA2" w:rsidP="00685A4E" w:rsidRDefault="00445BA2" w14:paraId="4FFA5B45" w14:textId="77777777">
      <w:pPr>
        <w:autoSpaceDE w:val="0"/>
        <w:autoSpaceDN w:val="0"/>
        <w:adjustRightInd w:val="0"/>
        <w:jc w:val="both"/>
        <w:rPr>
          <w:rFonts w:eastAsia="Calibri" w:asciiTheme="minorHAnsi" w:hAnsiTheme="minorHAnsi" w:cstheme="minorHAnsi"/>
          <w:color w:val="000000"/>
          <w:sz w:val="20"/>
          <w:lang w:val="es-ES"/>
        </w:rPr>
      </w:pPr>
    </w:p>
    <w:p w:rsidRPr="00685A4E" w:rsidR="00445BA2" w:rsidP="00685A4E" w:rsidRDefault="000B3F59" w14:paraId="528C48E5" w14:textId="77777777">
      <w:pPr>
        <w:autoSpaceDE w:val="0"/>
        <w:autoSpaceDN w:val="0"/>
        <w:adjustRightInd w:val="0"/>
        <w:jc w:val="both"/>
        <w:rPr>
          <w:rFonts w:eastAsia="Calibri" w:asciiTheme="minorHAnsi" w:hAnsiTheme="minorHAnsi" w:cstheme="minorHAnsi"/>
          <w:b/>
          <w:bCs/>
          <w:color w:val="000000"/>
          <w:sz w:val="20"/>
          <w:u w:val="single"/>
          <w:lang w:val="es-ES"/>
        </w:rPr>
      </w:pPr>
      <w:r w:rsidRPr="00685A4E">
        <w:rPr>
          <w:rFonts w:eastAsia="Calibri" w:asciiTheme="minorHAnsi" w:hAnsiTheme="minorHAnsi" w:cstheme="minorHAnsi"/>
          <w:b/>
          <w:bCs/>
          <w:color w:val="000000"/>
          <w:sz w:val="20"/>
          <w:u w:val="single"/>
          <w:lang w:val="es-ES"/>
        </w:rPr>
        <w:t>Resumen</w:t>
      </w:r>
    </w:p>
    <w:p w:rsidRPr="00685A4E" w:rsidR="00445BA2" w:rsidP="00685A4E" w:rsidRDefault="00445BA2" w14:paraId="6AD5696F" w14:textId="77777777">
      <w:pPr>
        <w:autoSpaceDE w:val="0"/>
        <w:autoSpaceDN w:val="0"/>
        <w:adjustRightInd w:val="0"/>
        <w:jc w:val="both"/>
        <w:rPr>
          <w:rFonts w:eastAsia="Calibri" w:asciiTheme="minorHAnsi" w:hAnsiTheme="minorHAnsi" w:cstheme="minorHAnsi"/>
          <w:color w:val="000000"/>
          <w:sz w:val="20"/>
          <w:lang w:val="es-ES"/>
        </w:rPr>
      </w:pPr>
    </w:p>
    <w:p w:rsidRPr="00685A4E" w:rsidR="00E872AA" w:rsidP="00685A4E" w:rsidRDefault="000B3F59" w14:paraId="183AA4EA" w14:textId="77777777">
      <w:pPr>
        <w:autoSpaceDE w:val="0"/>
        <w:autoSpaceDN w:val="0"/>
        <w:adjustRightInd w:val="0"/>
        <w:jc w:val="both"/>
        <w:rPr>
          <w:rFonts w:eastAsia="Calibri" w:asciiTheme="minorHAnsi" w:hAnsiTheme="minorHAnsi" w:cstheme="minorHAnsi"/>
          <w:color w:val="000000"/>
          <w:sz w:val="20"/>
          <w:lang w:val="es-ES"/>
        </w:rPr>
      </w:pPr>
      <w:r w:rsidRPr="00685A4E">
        <w:rPr>
          <w:rFonts w:eastAsia="Calibri" w:asciiTheme="minorHAnsi" w:hAnsiTheme="minorHAnsi" w:cstheme="minorHAnsi"/>
          <w:color w:val="000000"/>
          <w:sz w:val="20"/>
          <w:lang w:val="es-ES"/>
        </w:rPr>
        <w:t>Lograr un diagnóstico preciso es un objetivo fundamental de la práctica médica. Las pruebas genéticas se han convertido en una poderosa herramienta de diagnóstico en nefrología. La evidencia de que al menos el 15% de los pacientes adultos y la mayoría de los niños con ERC padecen una enfermedad renal hereditaria junto con la accesibilidad de nuevas herramientas genéticas de diagnóstico debería permitir diagnosticar un alto porcentaje de pacientes no diagnosticados y así asistir a una medicina personal con claras repercusiones para el pronóstico, manejo y tratamiento.</w:t>
      </w:r>
    </w:p>
    <w:p w:rsidRPr="00685A4E" w:rsidR="00E263C8" w:rsidP="00685A4E" w:rsidRDefault="00E263C8" w14:paraId="1CD5538A" w14:textId="77777777">
      <w:pPr>
        <w:pStyle w:val="Default"/>
        <w:jc w:val="both"/>
        <w:rPr>
          <w:rFonts w:asciiTheme="minorHAnsi" w:hAnsiTheme="minorHAnsi" w:cstheme="minorHAnsi"/>
          <w:bCs/>
          <w:color w:val="auto"/>
          <w:sz w:val="20"/>
          <w:szCs w:val="20"/>
        </w:rPr>
      </w:pPr>
    </w:p>
    <w:p w:rsidRPr="00685A4E" w:rsidR="00753FAD" w:rsidP="00685A4E" w:rsidRDefault="00E263C8" w14:paraId="3EF2A741" w14:textId="77777777">
      <w:pPr>
        <w:pStyle w:val="Default"/>
        <w:jc w:val="both"/>
        <w:rPr>
          <w:rFonts w:asciiTheme="minorHAnsi" w:hAnsiTheme="minorHAnsi" w:cstheme="minorHAnsi"/>
          <w:bCs/>
          <w:color w:val="auto"/>
          <w:sz w:val="20"/>
          <w:szCs w:val="20"/>
          <w:u w:val="single"/>
        </w:rPr>
      </w:pPr>
      <w:r w:rsidRPr="00685A4E">
        <w:rPr>
          <w:rFonts w:asciiTheme="minorHAnsi" w:hAnsiTheme="minorHAnsi" w:cstheme="minorHAnsi"/>
          <w:bCs/>
          <w:color w:val="auto"/>
          <w:sz w:val="20"/>
          <w:szCs w:val="20"/>
          <w:u w:val="single"/>
        </w:rPr>
        <w:t>2.</w:t>
      </w:r>
      <w:r w:rsidRPr="00685A4E" w:rsidR="007C2AA9">
        <w:rPr>
          <w:rFonts w:asciiTheme="minorHAnsi" w:hAnsiTheme="minorHAnsi" w:cstheme="minorHAnsi"/>
          <w:bCs/>
          <w:color w:val="auto"/>
          <w:sz w:val="20"/>
          <w:szCs w:val="20"/>
          <w:u w:val="single"/>
        </w:rPr>
        <w:t>1</w:t>
      </w:r>
      <w:r w:rsidRPr="00685A4E">
        <w:rPr>
          <w:rFonts w:asciiTheme="minorHAnsi" w:hAnsiTheme="minorHAnsi" w:cstheme="minorHAnsi"/>
          <w:bCs/>
          <w:color w:val="auto"/>
          <w:sz w:val="20"/>
          <w:szCs w:val="20"/>
          <w:u w:val="single"/>
        </w:rPr>
        <w:tab/>
      </w:r>
      <w:r w:rsidRPr="00685A4E">
        <w:rPr>
          <w:rFonts w:asciiTheme="minorHAnsi" w:hAnsiTheme="minorHAnsi" w:cstheme="minorHAnsi"/>
          <w:bCs/>
          <w:color w:val="auto"/>
          <w:sz w:val="20"/>
          <w:szCs w:val="20"/>
          <w:u w:val="single"/>
        </w:rPr>
        <w:t>Bibliografía relevante</w:t>
      </w:r>
      <w:r w:rsidRPr="00685A4E" w:rsidR="0045441B">
        <w:rPr>
          <w:rFonts w:asciiTheme="minorHAnsi" w:hAnsiTheme="minorHAnsi" w:cstheme="minorHAnsi"/>
          <w:bCs/>
          <w:color w:val="auto"/>
          <w:sz w:val="20"/>
          <w:szCs w:val="20"/>
          <w:u w:val="single"/>
        </w:rPr>
        <w:t>:</w:t>
      </w:r>
    </w:p>
    <w:p w:rsidRPr="00685A4E" w:rsidR="00753FAD" w:rsidP="00685A4E" w:rsidRDefault="00753FAD" w14:paraId="7E074572"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s-ES"/>
        </w:rPr>
        <w:t xml:space="preserve">1. </w:t>
      </w:r>
      <w:proofErr w:type="spellStart"/>
      <w:r w:rsidRPr="00685A4E">
        <w:rPr>
          <w:rFonts w:eastAsia="Calibri" w:asciiTheme="minorHAnsi" w:hAnsiTheme="minorHAnsi" w:cstheme="minorHAnsi"/>
          <w:sz w:val="20"/>
          <w:lang w:val="es-ES"/>
        </w:rPr>
        <w:t>Jha</w:t>
      </w:r>
      <w:proofErr w:type="spellEnd"/>
      <w:r w:rsidRPr="00685A4E">
        <w:rPr>
          <w:rFonts w:eastAsia="Calibri" w:asciiTheme="minorHAnsi" w:hAnsiTheme="minorHAnsi" w:cstheme="minorHAnsi"/>
          <w:sz w:val="20"/>
          <w:lang w:val="es-ES"/>
        </w:rPr>
        <w:t xml:space="preserve"> V, </w:t>
      </w:r>
      <w:proofErr w:type="spellStart"/>
      <w:r w:rsidRPr="00685A4E">
        <w:rPr>
          <w:rFonts w:eastAsia="Calibri" w:asciiTheme="minorHAnsi" w:hAnsiTheme="minorHAnsi" w:cstheme="minorHAnsi"/>
          <w:sz w:val="20"/>
          <w:lang w:val="es-ES"/>
        </w:rPr>
        <w:t>Garcia-Garcia</w:t>
      </w:r>
      <w:proofErr w:type="spellEnd"/>
      <w:r w:rsidRPr="00685A4E">
        <w:rPr>
          <w:rFonts w:eastAsia="Calibri" w:asciiTheme="minorHAnsi" w:hAnsiTheme="minorHAnsi" w:cstheme="minorHAnsi"/>
          <w:sz w:val="20"/>
          <w:lang w:val="es-ES"/>
        </w:rPr>
        <w:t xml:space="preserve"> G, </w:t>
      </w:r>
      <w:proofErr w:type="spellStart"/>
      <w:r w:rsidRPr="00685A4E">
        <w:rPr>
          <w:rFonts w:eastAsia="Calibri" w:asciiTheme="minorHAnsi" w:hAnsiTheme="minorHAnsi" w:cstheme="minorHAnsi"/>
          <w:sz w:val="20"/>
          <w:lang w:val="es-ES"/>
        </w:rPr>
        <w:t>Iseki</w:t>
      </w:r>
      <w:proofErr w:type="spellEnd"/>
      <w:r w:rsidRPr="00685A4E">
        <w:rPr>
          <w:rFonts w:eastAsia="Calibri" w:asciiTheme="minorHAnsi" w:hAnsiTheme="minorHAnsi" w:cstheme="minorHAnsi"/>
          <w:sz w:val="20"/>
          <w:lang w:val="es-ES"/>
        </w:rPr>
        <w:t xml:space="preserve"> K et al. </w:t>
      </w:r>
      <w:r w:rsidRPr="00685A4E">
        <w:rPr>
          <w:rFonts w:eastAsia="Calibri" w:asciiTheme="minorHAnsi" w:hAnsiTheme="minorHAnsi" w:cstheme="minorHAnsi"/>
          <w:sz w:val="20"/>
          <w:lang w:val="en-US"/>
        </w:rPr>
        <w:t>Chronic kidney disease: global dimension and perspectives. Lancet 2013; 382: 260–272</w:t>
      </w:r>
    </w:p>
    <w:p w:rsidRPr="00685A4E" w:rsidR="00753FAD" w:rsidP="00685A4E" w:rsidRDefault="00753FAD" w14:paraId="780028A3"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2. ERA-EDTA Registry. ERA-EDTA Registry Annual Report 2018.https://www.era-edta.org/registry/AnnRep2018.pdf (8</w:t>
      </w:r>
    </w:p>
    <w:p w:rsidRPr="00685A4E" w:rsidR="00753FAD" w:rsidP="00685A4E" w:rsidRDefault="00753FAD" w14:paraId="3923E9BB"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 December 2020, date last accessed)</w:t>
      </w:r>
    </w:p>
    <w:p w:rsidRPr="00685A4E" w:rsidR="00753FAD" w:rsidP="00685A4E" w:rsidRDefault="00753FAD" w14:paraId="31CA6FCB"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3. Kramer A, </w:t>
      </w:r>
      <w:proofErr w:type="spellStart"/>
      <w:r w:rsidRPr="00685A4E">
        <w:rPr>
          <w:rFonts w:eastAsia="Calibri" w:asciiTheme="minorHAnsi" w:hAnsiTheme="minorHAnsi" w:cstheme="minorHAnsi"/>
          <w:sz w:val="20"/>
          <w:lang w:val="en-US"/>
        </w:rPr>
        <w:t>Boenink</w:t>
      </w:r>
      <w:proofErr w:type="spellEnd"/>
      <w:r w:rsidRPr="00685A4E">
        <w:rPr>
          <w:rFonts w:eastAsia="Calibri" w:asciiTheme="minorHAnsi" w:hAnsiTheme="minorHAnsi" w:cstheme="minorHAnsi"/>
          <w:sz w:val="20"/>
          <w:lang w:val="en-US"/>
        </w:rPr>
        <w:t xml:space="preserve"> R, Stel VS et al. The ERA-EDTA </w:t>
      </w:r>
      <w:proofErr w:type="spellStart"/>
      <w:r w:rsidRPr="00685A4E">
        <w:rPr>
          <w:rFonts w:eastAsia="Calibri" w:asciiTheme="minorHAnsi" w:hAnsiTheme="minorHAnsi" w:cstheme="minorHAnsi"/>
          <w:sz w:val="20"/>
          <w:lang w:val="en-US"/>
        </w:rPr>
        <w:t>registryannual</w:t>
      </w:r>
      <w:proofErr w:type="spellEnd"/>
      <w:r w:rsidRPr="00685A4E">
        <w:rPr>
          <w:rFonts w:eastAsia="Calibri" w:asciiTheme="minorHAnsi" w:hAnsiTheme="minorHAnsi" w:cstheme="minorHAnsi"/>
          <w:sz w:val="20"/>
          <w:lang w:val="en-US"/>
        </w:rPr>
        <w:t xml:space="preserve"> report 2018: a summary. Clin Kidney J 2021; 14: 107–123</w:t>
      </w:r>
    </w:p>
    <w:p w:rsidRPr="00685A4E" w:rsidR="00753FAD" w:rsidP="00685A4E" w:rsidRDefault="00753FAD" w14:paraId="3E2F95D0"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4. </w:t>
      </w:r>
      <w:proofErr w:type="spellStart"/>
      <w:r w:rsidRPr="00685A4E">
        <w:rPr>
          <w:rFonts w:eastAsia="Calibri" w:asciiTheme="minorHAnsi" w:hAnsiTheme="minorHAnsi" w:cstheme="minorHAnsi"/>
          <w:sz w:val="20"/>
          <w:lang w:val="en-US"/>
        </w:rPr>
        <w:t>Groopman</w:t>
      </w:r>
      <w:proofErr w:type="spellEnd"/>
      <w:r w:rsidRPr="00685A4E">
        <w:rPr>
          <w:rFonts w:eastAsia="Calibri" w:asciiTheme="minorHAnsi" w:hAnsiTheme="minorHAnsi" w:cstheme="minorHAnsi"/>
          <w:sz w:val="20"/>
          <w:lang w:val="en-US"/>
        </w:rPr>
        <w:t xml:space="preserve"> EE, </w:t>
      </w:r>
      <w:proofErr w:type="spellStart"/>
      <w:r w:rsidRPr="00685A4E">
        <w:rPr>
          <w:rFonts w:eastAsia="Calibri" w:asciiTheme="minorHAnsi" w:hAnsiTheme="minorHAnsi" w:cstheme="minorHAnsi"/>
          <w:sz w:val="20"/>
          <w:lang w:val="en-US"/>
        </w:rPr>
        <w:t>Marasa</w:t>
      </w:r>
      <w:proofErr w:type="spellEnd"/>
      <w:r w:rsidRPr="00685A4E">
        <w:rPr>
          <w:rFonts w:eastAsia="Calibri" w:asciiTheme="minorHAnsi" w:hAnsiTheme="minorHAnsi" w:cstheme="minorHAnsi"/>
          <w:sz w:val="20"/>
          <w:lang w:val="en-US"/>
        </w:rPr>
        <w:t xml:space="preserve"> M, Cameron-Christie S et al. Diagnostic utility of exome sequencing for kidney disease. N </w:t>
      </w:r>
      <w:proofErr w:type="spellStart"/>
      <w:r w:rsidRPr="00685A4E">
        <w:rPr>
          <w:rFonts w:eastAsia="Calibri" w:asciiTheme="minorHAnsi" w:hAnsiTheme="minorHAnsi" w:cstheme="minorHAnsi"/>
          <w:sz w:val="20"/>
          <w:lang w:val="en-US"/>
        </w:rPr>
        <w:t>Engl</w:t>
      </w:r>
      <w:proofErr w:type="spellEnd"/>
      <w:r w:rsidRPr="00685A4E">
        <w:rPr>
          <w:rFonts w:eastAsia="Calibri" w:asciiTheme="minorHAnsi" w:hAnsiTheme="minorHAnsi" w:cstheme="minorHAnsi"/>
          <w:sz w:val="20"/>
          <w:lang w:val="en-US"/>
        </w:rPr>
        <w:t xml:space="preserve"> J Med 2019; 380: 142–151</w:t>
      </w:r>
    </w:p>
    <w:p w:rsidRPr="00685A4E" w:rsidR="00753FAD" w:rsidP="00685A4E" w:rsidRDefault="00753FAD" w14:paraId="429328F3"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5. United States Renal Data System. USRDS 2019 Annual Data Report. Incidence. </w:t>
      </w:r>
      <w:hyperlink w:history="1" r:id="rId13">
        <w:r w:rsidRPr="00685A4E">
          <w:rPr>
            <w:rFonts w:eastAsia="Calibri" w:asciiTheme="minorHAnsi" w:hAnsiTheme="minorHAnsi" w:cstheme="minorHAnsi"/>
            <w:sz w:val="20"/>
            <w:lang w:val="en-US"/>
          </w:rPr>
          <w:t>https://www.usrds.org/annual-data-re</w:t>
        </w:r>
      </w:hyperlink>
      <w:r w:rsidRPr="00685A4E">
        <w:rPr>
          <w:rFonts w:eastAsia="Calibri" w:asciiTheme="minorHAnsi" w:hAnsiTheme="minorHAnsi" w:cstheme="minorHAnsi"/>
          <w:sz w:val="20"/>
          <w:lang w:val="en-US"/>
        </w:rPr>
        <w:t xml:space="preserve"> port/ (8 December 2020, date last accessed) </w:t>
      </w:r>
    </w:p>
    <w:p w:rsidRPr="00685A4E" w:rsidR="00753FAD" w:rsidP="00685A4E" w:rsidRDefault="00753FAD" w14:paraId="2296CAB2"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6. </w:t>
      </w:r>
      <w:proofErr w:type="spellStart"/>
      <w:r w:rsidRPr="00685A4E">
        <w:rPr>
          <w:rFonts w:eastAsia="Calibri" w:asciiTheme="minorHAnsi" w:hAnsiTheme="minorHAnsi" w:cstheme="minorHAnsi"/>
          <w:sz w:val="20"/>
          <w:lang w:val="en-US"/>
        </w:rPr>
        <w:t>Carriazo</w:t>
      </w:r>
      <w:proofErr w:type="spellEnd"/>
      <w:r w:rsidRPr="00685A4E">
        <w:rPr>
          <w:rFonts w:eastAsia="Calibri" w:asciiTheme="minorHAnsi" w:hAnsiTheme="minorHAnsi" w:cstheme="minorHAnsi"/>
          <w:sz w:val="20"/>
          <w:lang w:val="en-US"/>
        </w:rPr>
        <w:t xml:space="preserve"> S, Vanessa Perez-Gomez M, Ortiz A. Hypertensive nephropathy: a major roadblock hindering the advance of </w:t>
      </w:r>
      <w:proofErr w:type="spellStart"/>
      <w:r w:rsidRPr="00685A4E">
        <w:rPr>
          <w:rFonts w:eastAsia="Calibri" w:asciiTheme="minorHAnsi" w:hAnsiTheme="minorHAnsi" w:cstheme="minorHAnsi"/>
          <w:sz w:val="20"/>
          <w:lang w:val="en-US"/>
        </w:rPr>
        <w:t>precisión</w:t>
      </w:r>
      <w:proofErr w:type="spellEnd"/>
      <w:r w:rsidRPr="00685A4E">
        <w:rPr>
          <w:rFonts w:eastAsia="Calibri" w:asciiTheme="minorHAnsi" w:hAnsiTheme="minorHAnsi" w:cstheme="minorHAnsi"/>
          <w:sz w:val="20"/>
          <w:lang w:val="en-US"/>
        </w:rPr>
        <w:t xml:space="preserve"> nephrology. Clin Kidney J 2020; 13: 504–509</w:t>
      </w:r>
    </w:p>
    <w:p w:rsidRPr="00685A4E" w:rsidR="00753FAD" w:rsidP="00685A4E" w:rsidRDefault="00753FAD" w14:paraId="0DEACF08"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7. </w:t>
      </w:r>
      <w:proofErr w:type="spellStart"/>
      <w:r w:rsidRPr="00685A4E">
        <w:rPr>
          <w:rFonts w:eastAsia="Calibri" w:asciiTheme="minorHAnsi" w:hAnsiTheme="minorHAnsi" w:cstheme="minorHAnsi"/>
          <w:sz w:val="20"/>
          <w:lang w:val="en-US"/>
        </w:rPr>
        <w:t>Devuyst</w:t>
      </w:r>
      <w:proofErr w:type="spellEnd"/>
      <w:r w:rsidRPr="00685A4E">
        <w:rPr>
          <w:rFonts w:eastAsia="Calibri" w:asciiTheme="minorHAnsi" w:hAnsiTheme="minorHAnsi" w:cstheme="minorHAnsi"/>
          <w:sz w:val="20"/>
          <w:lang w:val="en-US"/>
        </w:rPr>
        <w:t xml:space="preserve"> O, </w:t>
      </w:r>
      <w:proofErr w:type="spellStart"/>
      <w:r w:rsidRPr="00685A4E">
        <w:rPr>
          <w:rFonts w:eastAsia="Calibri" w:asciiTheme="minorHAnsi" w:hAnsiTheme="minorHAnsi" w:cstheme="minorHAnsi"/>
          <w:sz w:val="20"/>
          <w:lang w:val="en-US"/>
        </w:rPr>
        <w:t>Knoers</w:t>
      </w:r>
      <w:proofErr w:type="spellEnd"/>
      <w:r w:rsidRPr="00685A4E">
        <w:rPr>
          <w:rFonts w:eastAsia="Calibri" w:asciiTheme="minorHAnsi" w:hAnsiTheme="minorHAnsi" w:cstheme="minorHAnsi"/>
          <w:sz w:val="20"/>
          <w:lang w:val="en-US"/>
        </w:rPr>
        <w:t xml:space="preserve"> NVAM, </w:t>
      </w:r>
      <w:proofErr w:type="spellStart"/>
      <w:r w:rsidRPr="00685A4E">
        <w:rPr>
          <w:rFonts w:eastAsia="Calibri" w:asciiTheme="minorHAnsi" w:hAnsiTheme="minorHAnsi" w:cstheme="minorHAnsi"/>
          <w:sz w:val="20"/>
          <w:lang w:val="en-US"/>
        </w:rPr>
        <w:t>Remuzzi</w:t>
      </w:r>
      <w:proofErr w:type="spellEnd"/>
      <w:r w:rsidRPr="00685A4E">
        <w:rPr>
          <w:rFonts w:eastAsia="Calibri" w:asciiTheme="minorHAnsi" w:hAnsiTheme="minorHAnsi" w:cstheme="minorHAnsi"/>
          <w:sz w:val="20"/>
          <w:lang w:val="en-US"/>
        </w:rPr>
        <w:t xml:space="preserve"> G et al. Rare inherited kidney diseases: challenges, opportunities, and </w:t>
      </w:r>
      <w:proofErr w:type="spellStart"/>
      <w:proofErr w:type="gramStart"/>
      <w:r w:rsidRPr="00685A4E">
        <w:rPr>
          <w:rFonts w:eastAsia="Calibri" w:asciiTheme="minorHAnsi" w:hAnsiTheme="minorHAnsi" w:cstheme="minorHAnsi"/>
          <w:sz w:val="20"/>
          <w:lang w:val="en-US"/>
        </w:rPr>
        <w:t>perspectives.Lancet</w:t>
      </w:r>
      <w:proofErr w:type="spellEnd"/>
      <w:proofErr w:type="gramEnd"/>
      <w:r w:rsidRPr="00685A4E">
        <w:rPr>
          <w:rFonts w:eastAsia="Calibri" w:asciiTheme="minorHAnsi" w:hAnsiTheme="minorHAnsi" w:cstheme="minorHAnsi"/>
          <w:sz w:val="20"/>
          <w:lang w:val="en-US"/>
        </w:rPr>
        <w:t xml:space="preserve"> 2014; 383: 1844–1859</w:t>
      </w:r>
    </w:p>
    <w:p w:rsidRPr="00685A4E" w:rsidR="00753FAD" w:rsidP="00685A4E" w:rsidRDefault="00753FAD" w14:paraId="04151A83" w14:textId="4A5202E8">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s-ES"/>
        </w:rPr>
        <w:t xml:space="preserve">8. Wu¨ hl E, Van </w:t>
      </w:r>
      <w:proofErr w:type="spellStart"/>
      <w:r w:rsidRPr="00685A4E">
        <w:rPr>
          <w:rFonts w:eastAsia="Calibri" w:asciiTheme="minorHAnsi" w:hAnsiTheme="minorHAnsi" w:cstheme="minorHAnsi"/>
          <w:sz w:val="20"/>
          <w:lang w:val="es-ES"/>
        </w:rPr>
        <w:t>Stralen</w:t>
      </w:r>
      <w:proofErr w:type="spellEnd"/>
      <w:r w:rsidRPr="00685A4E">
        <w:rPr>
          <w:rFonts w:eastAsia="Calibri" w:asciiTheme="minorHAnsi" w:hAnsiTheme="minorHAnsi" w:cstheme="minorHAnsi"/>
          <w:sz w:val="20"/>
          <w:lang w:val="es-ES"/>
        </w:rPr>
        <w:t xml:space="preserve"> KJ, Wanner C et al. </w:t>
      </w:r>
      <w:r w:rsidRPr="00685A4E">
        <w:rPr>
          <w:rFonts w:eastAsia="Calibri" w:asciiTheme="minorHAnsi" w:hAnsiTheme="minorHAnsi" w:cstheme="minorHAnsi"/>
          <w:sz w:val="20"/>
          <w:lang w:val="en-US"/>
        </w:rPr>
        <w:t>Renal replacement</w:t>
      </w:r>
      <w:r w:rsidR="00DC2A49">
        <w:rPr>
          <w:rFonts w:eastAsia="Calibri" w:asciiTheme="minorHAnsi" w:hAnsiTheme="minorHAnsi" w:cstheme="minorHAnsi"/>
          <w:sz w:val="20"/>
          <w:lang w:val="en-US"/>
        </w:rPr>
        <w:t xml:space="preserve"> </w:t>
      </w:r>
      <w:r w:rsidRPr="00685A4E">
        <w:rPr>
          <w:rFonts w:eastAsia="Calibri" w:asciiTheme="minorHAnsi" w:hAnsiTheme="minorHAnsi" w:cstheme="minorHAnsi"/>
          <w:sz w:val="20"/>
          <w:lang w:val="en-US"/>
        </w:rPr>
        <w:t>therapy for rare diseases affecting the kidney: an analysis of</w:t>
      </w:r>
    </w:p>
    <w:p w:rsidRPr="00685A4E" w:rsidR="00753FAD" w:rsidP="00685A4E" w:rsidRDefault="00753FAD" w14:paraId="38A6B456"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the ERA-EDTA Registry. Nephrol Dial Transplant 2014; 29(Suppl 4): iv1–8</w:t>
      </w:r>
    </w:p>
    <w:p w:rsidRPr="00685A4E" w:rsidR="00753FAD" w:rsidP="00685A4E" w:rsidRDefault="00753FAD" w14:paraId="6E61092D"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9. </w:t>
      </w:r>
      <w:proofErr w:type="spellStart"/>
      <w:r w:rsidRPr="00685A4E">
        <w:rPr>
          <w:rFonts w:eastAsia="Calibri" w:asciiTheme="minorHAnsi" w:hAnsiTheme="minorHAnsi" w:cstheme="minorHAnsi"/>
          <w:sz w:val="20"/>
          <w:lang w:val="en-US"/>
        </w:rPr>
        <w:t>Vivante</w:t>
      </w:r>
      <w:proofErr w:type="spellEnd"/>
      <w:r w:rsidRPr="00685A4E">
        <w:rPr>
          <w:rFonts w:eastAsia="Calibri" w:asciiTheme="minorHAnsi" w:hAnsiTheme="minorHAnsi" w:cstheme="minorHAnsi"/>
          <w:sz w:val="20"/>
          <w:lang w:val="en-US"/>
        </w:rPr>
        <w:t xml:space="preserve"> A, Hildebrandt F. Exploring the genetic basis of early-onset chronic kidney disease. Nat Rev Nephrol 2016; 12: 133–146</w:t>
      </w:r>
    </w:p>
    <w:p w:rsidRPr="00685A4E" w:rsidR="00753FAD" w:rsidP="00685A4E" w:rsidRDefault="00753FAD" w14:paraId="1BA9FD8F"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10. </w:t>
      </w:r>
      <w:proofErr w:type="spellStart"/>
      <w:r w:rsidRPr="00685A4E">
        <w:rPr>
          <w:rFonts w:eastAsia="Calibri" w:asciiTheme="minorHAnsi" w:hAnsiTheme="minorHAnsi" w:cstheme="minorHAnsi"/>
          <w:sz w:val="20"/>
          <w:lang w:val="en-US"/>
        </w:rPr>
        <w:t>Ingelfinger</w:t>
      </w:r>
      <w:proofErr w:type="spellEnd"/>
      <w:r w:rsidRPr="00685A4E">
        <w:rPr>
          <w:rFonts w:eastAsia="Calibri" w:asciiTheme="minorHAnsi" w:hAnsiTheme="minorHAnsi" w:cstheme="minorHAnsi"/>
          <w:sz w:val="20"/>
          <w:lang w:val="en-US"/>
        </w:rPr>
        <w:t xml:space="preserve"> JR, </w:t>
      </w:r>
      <w:proofErr w:type="spellStart"/>
      <w:r w:rsidRPr="00685A4E">
        <w:rPr>
          <w:rFonts w:eastAsia="Calibri" w:asciiTheme="minorHAnsi" w:hAnsiTheme="minorHAnsi" w:cstheme="minorHAnsi"/>
          <w:sz w:val="20"/>
          <w:lang w:val="en-US"/>
        </w:rPr>
        <w:t>Kalantar</w:t>
      </w:r>
      <w:proofErr w:type="spellEnd"/>
      <w:r w:rsidRPr="00685A4E">
        <w:rPr>
          <w:rFonts w:eastAsia="Calibri" w:asciiTheme="minorHAnsi" w:hAnsiTheme="minorHAnsi" w:cstheme="minorHAnsi"/>
          <w:sz w:val="20"/>
          <w:lang w:val="en-US"/>
        </w:rPr>
        <w:t>-Zadeh K, Schaefer F et al. World Kidney Day 2016: averting the legacy of kidney disease—</w:t>
      </w:r>
      <w:proofErr w:type="spellStart"/>
      <w:r w:rsidRPr="00685A4E">
        <w:rPr>
          <w:rFonts w:eastAsia="Calibri" w:asciiTheme="minorHAnsi" w:hAnsiTheme="minorHAnsi" w:cstheme="minorHAnsi"/>
          <w:sz w:val="20"/>
          <w:lang w:val="en-US"/>
        </w:rPr>
        <w:t>focuson</w:t>
      </w:r>
      <w:proofErr w:type="spellEnd"/>
      <w:r w:rsidRPr="00685A4E">
        <w:rPr>
          <w:rFonts w:eastAsia="Calibri" w:asciiTheme="minorHAnsi" w:hAnsiTheme="minorHAnsi" w:cstheme="minorHAnsi"/>
          <w:sz w:val="20"/>
          <w:lang w:val="en-US"/>
        </w:rPr>
        <w:t xml:space="preserve"> childhood. </w:t>
      </w:r>
      <w:proofErr w:type="spellStart"/>
      <w:r w:rsidRPr="00685A4E">
        <w:rPr>
          <w:rFonts w:eastAsia="Calibri" w:asciiTheme="minorHAnsi" w:hAnsiTheme="minorHAnsi" w:cstheme="minorHAnsi"/>
          <w:sz w:val="20"/>
          <w:lang w:val="en-US"/>
        </w:rPr>
        <w:t>Pediatr</w:t>
      </w:r>
      <w:proofErr w:type="spellEnd"/>
      <w:r w:rsidRPr="00685A4E">
        <w:rPr>
          <w:rFonts w:eastAsia="Calibri" w:asciiTheme="minorHAnsi" w:hAnsiTheme="minorHAnsi" w:cstheme="minorHAnsi"/>
          <w:sz w:val="20"/>
          <w:lang w:val="en-US"/>
        </w:rPr>
        <w:t xml:space="preserve"> Nephrol 2016; 31: 343–348</w:t>
      </w:r>
    </w:p>
    <w:p w:rsidRPr="00685A4E" w:rsidR="00753FAD" w:rsidP="00685A4E" w:rsidRDefault="00753FAD" w14:paraId="63711450"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11. Connaughton DM, Bukhari S, Conlon P et al. The Irish Kidney Gene Project – prevalence of family history in patients </w:t>
      </w:r>
      <w:proofErr w:type="spellStart"/>
      <w:r w:rsidRPr="00685A4E">
        <w:rPr>
          <w:rFonts w:eastAsia="Calibri" w:asciiTheme="minorHAnsi" w:hAnsiTheme="minorHAnsi" w:cstheme="minorHAnsi"/>
          <w:sz w:val="20"/>
          <w:lang w:val="en-US"/>
        </w:rPr>
        <w:t>withkidney</w:t>
      </w:r>
      <w:proofErr w:type="spellEnd"/>
      <w:r w:rsidRPr="00685A4E">
        <w:rPr>
          <w:rFonts w:eastAsia="Calibri" w:asciiTheme="minorHAnsi" w:hAnsiTheme="minorHAnsi" w:cstheme="minorHAnsi"/>
          <w:sz w:val="20"/>
          <w:lang w:val="en-US"/>
        </w:rPr>
        <w:t xml:space="preserve"> disease in Ireland. Nephron 2015; 130: 293–301</w:t>
      </w:r>
    </w:p>
    <w:p w:rsidRPr="00685A4E" w:rsidR="00753FAD" w:rsidP="00685A4E" w:rsidRDefault="00753FAD" w14:paraId="04253834"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12. </w:t>
      </w:r>
      <w:proofErr w:type="spellStart"/>
      <w:r w:rsidRPr="00685A4E">
        <w:rPr>
          <w:rFonts w:eastAsia="Calibri" w:asciiTheme="minorHAnsi" w:hAnsiTheme="minorHAnsi" w:cstheme="minorHAnsi"/>
          <w:sz w:val="20"/>
          <w:lang w:val="en-US"/>
        </w:rPr>
        <w:t>Cocchi</w:t>
      </w:r>
      <w:proofErr w:type="spellEnd"/>
      <w:r w:rsidRPr="00685A4E">
        <w:rPr>
          <w:rFonts w:eastAsia="Calibri" w:asciiTheme="minorHAnsi" w:hAnsiTheme="minorHAnsi" w:cstheme="minorHAnsi"/>
          <w:sz w:val="20"/>
          <w:lang w:val="en-US"/>
        </w:rPr>
        <w:t xml:space="preserve"> E, Nestor JG, </w:t>
      </w:r>
      <w:proofErr w:type="spellStart"/>
      <w:r w:rsidRPr="00685A4E">
        <w:rPr>
          <w:rFonts w:eastAsia="Calibri" w:asciiTheme="minorHAnsi" w:hAnsiTheme="minorHAnsi" w:cstheme="minorHAnsi"/>
          <w:sz w:val="20"/>
          <w:lang w:val="en-US"/>
        </w:rPr>
        <w:t>Gharavi</w:t>
      </w:r>
      <w:proofErr w:type="spellEnd"/>
      <w:r w:rsidRPr="00685A4E">
        <w:rPr>
          <w:rFonts w:eastAsia="Calibri" w:asciiTheme="minorHAnsi" w:hAnsiTheme="minorHAnsi" w:cstheme="minorHAnsi"/>
          <w:sz w:val="20"/>
          <w:lang w:val="en-US"/>
        </w:rPr>
        <w:t xml:space="preserve"> AG. Clinical genetic screening in adult patients with kidney disease. Clin J Am Soc Nephrol</w:t>
      </w:r>
    </w:p>
    <w:p w:rsidRPr="00685A4E" w:rsidR="00753FAD" w:rsidP="00685A4E" w:rsidRDefault="00753FAD" w14:paraId="22E9CF07"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2020; 15: 1497–1510</w:t>
      </w:r>
    </w:p>
    <w:p w:rsidRPr="00685A4E" w:rsidR="00753FAD" w:rsidP="00685A4E" w:rsidRDefault="00753FAD" w14:paraId="7EB7F27E"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13. </w:t>
      </w:r>
      <w:proofErr w:type="spellStart"/>
      <w:r w:rsidRPr="00685A4E">
        <w:rPr>
          <w:rFonts w:eastAsia="Calibri" w:asciiTheme="minorHAnsi" w:hAnsiTheme="minorHAnsi" w:cstheme="minorHAnsi"/>
          <w:sz w:val="20"/>
          <w:lang w:val="en-US"/>
        </w:rPr>
        <w:t>Doreille</w:t>
      </w:r>
      <w:proofErr w:type="spellEnd"/>
      <w:r w:rsidRPr="00685A4E">
        <w:rPr>
          <w:rFonts w:eastAsia="Calibri" w:asciiTheme="minorHAnsi" w:hAnsiTheme="minorHAnsi" w:cstheme="minorHAnsi"/>
          <w:sz w:val="20"/>
          <w:lang w:val="en-US"/>
        </w:rPr>
        <w:t xml:space="preserve"> A, Raymond L, </w:t>
      </w:r>
      <w:proofErr w:type="spellStart"/>
      <w:r w:rsidRPr="00685A4E">
        <w:rPr>
          <w:rFonts w:eastAsia="Calibri" w:asciiTheme="minorHAnsi" w:hAnsiTheme="minorHAnsi" w:cstheme="minorHAnsi"/>
          <w:sz w:val="20"/>
          <w:lang w:val="en-US"/>
        </w:rPr>
        <w:t>Lebre</w:t>
      </w:r>
      <w:proofErr w:type="spellEnd"/>
      <w:r w:rsidRPr="00685A4E">
        <w:rPr>
          <w:rFonts w:eastAsia="Calibri" w:asciiTheme="minorHAnsi" w:hAnsiTheme="minorHAnsi" w:cstheme="minorHAnsi"/>
          <w:sz w:val="20"/>
          <w:lang w:val="en-US"/>
        </w:rPr>
        <w:t xml:space="preserve"> A-S et al. Nephronophthisis in young adults phenocopying thrombotic </w:t>
      </w:r>
      <w:proofErr w:type="spellStart"/>
      <w:r w:rsidRPr="00685A4E">
        <w:rPr>
          <w:rFonts w:eastAsia="Calibri" w:asciiTheme="minorHAnsi" w:hAnsiTheme="minorHAnsi" w:cstheme="minorHAnsi"/>
          <w:sz w:val="20"/>
          <w:lang w:val="en-US"/>
        </w:rPr>
        <w:t>microangiopathyand</w:t>
      </w:r>
      <w:proofErr w:type="spellEnd"/>
      <w:r w:rsidRPr="00685A4E">
        <w:rPr>
          <w:rFonts w:eastAsia="Calibri" w:asciiTheme="minorHAnsi" w:hAnsiTheme="minorHAnsi" w:cstheme="minorHAnsi"/>
          <w:sz w:val="20"/>
          <w:lang w:val="en-US"/>
        </w:rPr>
        <w:t xml:space="preserve"> severe nephrosclerosis. Clin J Am Soc Nephrol 2020; doi:10.2215/CJN.11890720</w:t>
      </w:r>
    </w:p>
    <w:p w:rsidRPr="00685A4E" w:rsidR="00A46B90" w:rsidP="00685A4E" w:rsidRDefault="00A46B90" w14:paraId="71DEB964"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14. </w:t>
      </w:r>
      <w:proofErr w:type="spellStart"/>
      <w:r w:rsidRPr="00685A4E">
        <w:rPr>
          <w:rFonts w:eastAsia="Calibri" w:asciiTheme="minorHAnsi" w:hAnsiTheme="minorHAnsi" w:cstheme="minorHAnsi"/>
          <w:sz w:val="20"/>
          <w:lang w:val="en-US"/>
        </w:rPr>
        <w:t>Kottgen</w:t>
      </w:r>
      <w:proofErr w:type="spellEnd"/>
      <w:r w:rsidRPr="00685A4E">
        <w:rPr>
          <w:rFonts w:eastAsia="Calibri" w:asciiTheme="minorHAnsi" w:hAnsiTheme="minorHAnsi" w:cstheme="minorHAnsi"/>
          <w:sz w:val="20"/>
          <w:lang w:val="en-US"/>
        </w:rPr>
        <w:t xml:space="preserve"> A, </w:t>
      </w:r>
      <w:proofErr w:type="spellStart"/>
      <w:r w:rsidRPr="00685A4E">
        <w:rPr>
          <w:rFonts w:eastAsia="Calibri" w:asciiTheme="minorHAnsi" w:hAnsiTheme="minorHAnsi" w:cstheme="minorHAnsi"/>
          <w:sz w:val="20"/>
          <w:lang w:val="en-US"/>
        </w:rPr>
        <w:t>Pattaro</w:t>
      </w:r>
      <w:proofErr w:type="spellEnd"/>
      <w:r w:rsidRPr="00685A4E">
        <w:rPr>
          <w:rFonts w:eastAsia="Calibri" w:asciiTheme="minorHAnsi" w:hAnsiTheme="minorHAnsi" w:cstheme="minorHAnsi"/>
          <w:sz w:val="20"/>
          <w:lang w:val="en-US"/>
        </w:rPr>
        <w:t xml:space="preserve"> C. The </w:t>
      </w:r>
      <w:proofErr w:type="spellStart"/>
      <w:r w:rsidRPr="00685A4E">
        <w:rPr>
          <w:rFonts w:eastAsia="Calibri" w:asciiTheme="minorHAnsi" w:hAnsiTheme="minorHAnsi" w:cstheme="minorHAnsi"/>
          <w:sz w:val="20"/>
          <w:lang w:val="en-US"/>
        </w:rPr>
        <w:t>CKDGen</w:t>
      </w:r>
      <w:proofErr w:type="spellEnd"/>
      <w:r w:rsidRPr="00685A4E">
        <w:rPr>
          <w:rFonts w:eastAsia="Calibri" w:asciiTheme="minorHAnsi" w:hAnsiTheme="minorHAnsi" w:cstheme="minorHAnsi"/>
          <w:sz w:val="20"/>
          <w:lang w:val="en-US"/>
        </w:rPr>
        <w:t xml:space="preserve"> consortium: ten years </w:t>
      </w:r>
      <w:proofErr w:type="spellStart"/>
      <w:r w:rsidRPr="00685A4E">
        <w:rPr>
          <w:rFonts w:eastAsia="Calibri" w:asciiTheme="minorHAnsi" w:hAnsiTheme="minorHAnsi" w:cstheme="minorHAnsi"/>
          <w:sz w:val="20"/>
          <w:lang w:val="en-US"/>
        </w:rPr>
        <w:t>ofinsights</w:t>
      </w:r>
      <w:proofErr w:type="spellEnd"/>
      <w:r w:rsidRPr="00685A4E">
        <w:rPr>
          <w:rFonts w:eastAsia="Calibri" w:asciiTheme="minorHAnsi" w:hAnsiTheme="minorHAnsi" w:cstheme="minorHAnsi"/>
          <w:sz w:val="20"/>
          <w:lang w:val="en-US"/>
        </w:rPr>
        <w:t xml:space="preserve"> into the genetic basis of kidney function. Kidney Int</w:t>
      </w:r>
    </w:p>
    <w:p w:rsidRPr="00685A4E" w:rsidR="00A46B90" w:rsidP="00685A4E" w:rsidRDefault="00A46B90" w14:paraId="087B27A5"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2020; 97: 236–242</w:t>
      </w:r>
    </w:p>
    <w:p w:rsidRPr="00685A4E" w:rsidR="00A46B90" w:rsidP="00685A4E" w:rsidRDefault="00A46B90" w14:paraId="77AC9139"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15. </w:t>
      </w:r>
      <w:proofErr w:type="spellStart"/>
      <w:r w:rsidRPr="00685A4E">
        <w:rPr>
          <w:rFonts w:eastAsia="Calibri" w:asciiTheme="minorHAnsi" w:hAnsiTheme="minorHAnsi" w:cstheme="minorHAnsi"/>
          <w:sz w:val="20"/>
          <w:lang w:val="en-US"/>
        </w:rPr>
        <w:t>Wuttke</w:t>
      </w:r>
      <w:proofErr w:type="spellEnd"/>
      <w:r w:rsidRPr="00685A4E">
        <w:rPr>
          <w:rFonts w:eastAsia="Calibri" w:asciiTheme="minorHAnsi" w:hAnsiTheme="minorHAnsi" w:cstheme="minorHAnsi"/>
          <w:sz w:val="20"/>
          <w:lang w:val="en-US"/>
        </w:rPr>
        <w:t xml:space="preserve"> M, Li Y, Li M et al. A catalog of genetic loci </w:t>
      </w:r>
      <w:proofErr w:type="spellStart"/>
      <w:r w:rsidRPr="00685A4E">
        <w:rPr>
          <w:rFonts w:eastAsia="Calibri" w:asciiTheme="minorHAnsi" w:hAnsiTheme="minorHAnsi" w:cstheme="minorHAnsi"/>
          <w:sz w:val="20"/>
          <w:lang w:val="en-US"/>
        </w:rPr>
        <w:t>associatedwith</w:t>
      </w:r>
      <w:proofErr w:type="spellEnd"/>
      <w:r w:rsidRPr="00685A4E">
        <w:rPr>
          <w:rFonts w:eastAsia="Calibri" w:asciiTheme="minorHAnsi" w:hAnsiTheme="minorHAnsi" w:cstheme="minorHAnsi"/>
          <w:sz w:val="20"/>
          <w:lang w:val="en-US"/>
        </w:rPr>
        <w:t xml:space="preserve"> kidney function from analyses of a million </w:t>
      </w:r>
      <w:proofErr w:type="spellStart"/>
      <w:proofErr w:type="gramStart"/>
      <w:r w:rsidRPr="00685A4E">
        <w:rPr>
          <w:rFonts w:eastAsia="Calibri" w:asciiTheme="minorHAnsi" w:hAnsiTheme="minorHAnsi" w:cstheme="minorHAnsi"/>
          <w:sz w:val="20"/>
          <w:lang w:val="en-US"/>
        </w:rPr>
        <w:t>individuals.Nat</w:t>
      </w:r>
      <w:proofErr w:type="spellEnd"/>
      <w:proofErr w:type="gramEnd"/>
      <w:r w:rsidRPr="00685A4E">
        <w:rPr>
          <w:rFonts w:eastAsia="Calibri" w:asciiTheme="minorHAnsi" w:hAnsiTheme="minorHAnsi" w:cstheme="minorHAnsi"/>
          <w:sz w:val="20"/>
          <w:lang w:val="en-US"/>
        </w:rPr>
        <w:t xml:space="preserve"> Genet 2019; 51: 957–972</w:t>
      </w:r>
    </w:p>
    <w:p w:rsidRPr="00685A4E" w:rsidR="00A46B90" w:rsidP="00685A4E" w:rsidRDefault="00A46B90" w14:paraId="324C1EF6"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16. </w:t>
      </w:r>
      <w:proofErr w:type="spellStart"/>
      <w:r w:rsidRPr="00685A4E">
        <w:rPr>
          <w:rFonts w:eastAsia="Calibri" w:asciiTheme="minorHAnsi" w:hAnsiTheme="minorHAnsi" w:cstheme="minorHAnsi"/>
          <w:sz w:val="20"/>
          <w:lang w:val="en-US"/>
        </w:rPr>
        <w:t>Arpega</w:t>
      </w:r>
      <w:proofErr w:type="spellEnd"/>
      <w:r w:rsidRPr="00685A4E">
        <w:rPr>
          <w:rFonts w:eastAsia="Calibri" w:asciiTheme="minorHAnsi" w:hAnsiTheme="minorHAnsi" w:cstheme="minorHAnsi"/>
          <w:sz w:val="20"/>
          <w:lang w:val="en-US"/>
        </w:rPr>
        <w:t xml:space="preserve">° </w:t>
      </w:r>
      <w:proofErr w:type="spellStart"/>
      <w:r w:rsidRPr="00685A4E">
        <w:rPr>
          <w:rFonts w:eastAsia="Calibri" w:asciiTheme="minorHAnsi" w:hAnsiTheme="minorHAnsi" w:cstheme="minorHAnsi"/>
          <w:sz w:val="20"/>
          <w:lang w:val="en-US"/>
        </w:rPr>
        <w:t>rd</w:t>
      </w:r>
      <w:proofErr w:type="spellEnd"/>
      <w:r w:rsidRPr="00685A4E">
        <w:rPr>
          <w:rFonts w:eastAsia="Calibri" w:asciiTheme="minorHAnsi" w:hAnsiTheme="minorHAnsi" w:cstheme="minorHAnsi"/>
          <w:sz w:val="20"/>
          <w:lang w:val="en-US"/>
        </w:rPr>
        <w:t xml:space="preserve"> J, </w:t>
      </w:r>
      <w:proofErr w:type="spellStart"/>
      <w:r w:rsidRPr="00685A4E">
        <w:rPr>
          <w:rFonts w:eastAsia="Calibri" w:asciiTheme="minorHAnsi" w:hAnsiTheme="minorHAnsi" w:cstheme="minorHAnsi"/>
          <w:sz w:val="20"/>
          <w:lang w:val="en-US"/>
        </w:rPr>
        <w:t>Viktorin</w:t>
      </w:r>
      <w:proofErr w:type="spellEnd"/>
      <w:r w:rsidRPr="00685A4E">
        <w:rPr>
          <w:rFonts w:eastAsia="Calibri" w:asciiTheme="minorHAnsi" w:hAnsiTheme="minorHAnsi" w:cstheme="minorHAnsi"/>
          <w:sz w:val="20"/>
          <w:lang w:val="en-US"/>
        </w:rPr>
        <w:t xml:space="preserve"> A, Chang Z et al. Comparison of </w:t>
      </w:r>
      <w:proofErr w:type="spellStart"/>
      <w:r w:rsidRPr="00685A4E">
        <w:rPr>
          <w:rFonts w:eastAsia="Calibri" w:asciiTheme="minorHAnsi" w:hAnsiTheme="minorHAnsi" w:cstheme="minorHAnsi"/>
          <w:sz w:val="20"/>
          <w:lang w:val="en-US"/>
        </w:rPr>
        <w:t>heritabilityof</w:t>
      </w:r>
      <w:proofErr w:type="spellEnd"/>
      <w:r w:rsidRPr="00685A4E">
        <w:rPr>
          <w:rFonts w:eastAsia="Calibri" w:asciiTheme="minorHAnsi" w:hAnsiTheme="minorHAnsi" w:cstheme="minorHAnsi"/>
          <w:sz w:val="20"/>
          <w:lang w:val="en-US"/>
        </w:rPr>
        <w:t xml:space="preserve"> cystatin C- and creatinine-based estimates of </w:t>
      </w:r>
      <w:proofErr w:type="spellStart"/>
      <w:r w:rsidRPr="00685A4E">
        <w:rPr>
          <w:rFonts w:eastAsia="Calibri" w:asciiTheme="minorHAnsi" w:hAnsiTheme="minorHAnsi" w:cstheme="minorHAnsi"/>
          <w:sz w:val="20"/>
          <w:lang w:val="en-US"/>
        </w:rPr>
        <w:t>kidneyfunction</w:t>
      </w:r>
      <w:proofErr w:type="spellEnd"/>
      <w:r w:rsidRPr="00685A4E">
        <w:rPr>
          <w:rFonts w:eastAsia="Calibri" w:asciiTheme="minorHAnsi" w:hAnsiTheme="minorHAnsi" w:cstheme="minorHAnsi"/>
          <w:sz w:val="20"/>
          <w:lang w:val="en-US"/>
        </w:rPr>
        <w:t xml:space="preserve"> and their relation to heritability of </w:t>
      </w:r>
      <w:proofErr w:type="spellStart"/>
      <w:r w:rsidRPr="00685A4E">
        <w:rPr>
          <w:rFonts w:eastAsia="Calibri" w:asciiTheme="minorHAnsi" w:hAnsiTheme="minorHAnsi" w:cstheme="minorHAnsi"/>
          <w:sz w:val="20"/>
          <w:lang w:val="en-US"/>
        </w:rPr>
        <w:t>cardiovasculardisease</w:t>
      </w:r>
      <w:proofErr w:type="spellEnd"/>
      <w:r w:rsidRPr="00685A4E">
        <w:rPr>
          <w:rFonts w:eastAsia="Calibri" w:asciiTheme="minorHAnsi" w:hAnsiTheme="minorHAnsi" w:cstheme="minorHAnsi"/>
          <w:sz w:val="20"/>
          <w:lang w:val="en-US"/>
        </w:rPr>
        <w:t>. J Am Heart Assoc 2015; 4: e001467</w:t>
      </w:r>
    </w:p>
    <w:p w:rsidRPr="00685A4E" w:rsidR="00A46B90" w:rsidP="00685A4E" w:rsidRDefault="00A46B90" w14:paraId="2D4C8289"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17. Fox CS, Yang Q, </w:t>
      </w:r>
      <w:proofErr w:type="spellStart"/>
      <w:r w:rsidRPr="00685A4E">
        <w:rPr>
          <w:rFonts w:eastAsia="Calibri" w:asciiTheme="minorHAnsi" w:hAnsiTheme="minorHAnsi" w:cstheme="minorHAnsi"/>
          <w:sz w:val="20"/>
          <w:lang w:val="en-US"/>
        </w:rPr>
        <w:t>Cupples</w:t>
      </w:r>
      <w:proofErr w:type="spellEnd"/>
      <w:r w:rsidRPr="00685A4E">
        <w:rPr>
          <w:rFonts w:eastAsia="Calibri" w:asciiTheme="minorHAnsi" w:hAnsiTheme="minorHAnsi" w:cstheme="minorHAnsi"/>
          <w:sz w:val="20"/>
          <w:lang w:val="en-US"/>
        </w:rPr>
        <w:t xml:space="preserve"> LA et al. </w:t>
      </w:r>
      <w:proofErr w:type="spellStart"/>
      <w:r w:rsidRPr="00685A4E">
        <w:rPr>
          <w:rFonts w:eastAsia="Calibri" w:asciiTheme="minorHAnsi" w:hAnsiTheme="minorHAnsi" w:cstheme="minorHAnsi"/>
          <w:sz w:val="20"/>
          <w:lang w:val="en-US"/>
        </w:rPr>
        <w:t>Genomewide</w:t>
      </w:r>
      <w:proofErr w:type="spellEnd"/>
      <w:r w:rsidRPr="00685A4E">
        <w:rPr>
          <w:rFonts w:eastAsia="Calibri" w:asciiTheme="minorHAnsi" w:hAnsiTheme="minorHAnsi" w:cstheme="minorHAnsi"/>
          <w:sz w:val="20"/>
          <w:lang w:val="en-US"/>
        </w:rPr>
        <w:t xml:space="preserve"> linkage </w:t>
      </w:r>
      <w:proofErr w:type="spellStart"/>
      <w:r w:rsidRPr="00685A4E">
        <w:rPr>
          <w:rFonts w:eastAsia="Calibri" w:asciiTheme="minorHAnsi" w:hAnsiTheme="minorHAnsi" w:cstheme="minorHAnsi"/>
          <w:sz w:val="20"/>
          <w:lang w:val="en-US"/>
        </w:rPr>
        <w:t>analysisto</w:t>
      </w:r>
      <w:proofErr w:type="spellEnd"/>
      <w:r w:rsidRPr="00685A4E">
        <w:rPr>
          <w:rFonts w:eastAsia="Calibri" w:asciiTheme="minorHAnsi" w:hAnsiTheme="minorHAnsi" w:cstheme="minorHAnsi"/>
          <w:sz w:val="20"/>
          <w:lang w:val="en-US"/>
        </w:rPr>
        <w:t xml:space="preserve"> serum creatinine, GFR, and creatinine clearance in </w:t>
      </w:r>
      <w:proofErr w:type="spellStart"/>
      <w:r w:rsidRPr="00685A4E">
        <w:rPr>
          <w:rFonts w:eastAsia="Calibri" w:asciiTheme="minorHAnsi" w:hAnsiTheme="minorHAnsi" w:cstheme="minorHAnsi"/>
          <w:sz w:val="20"/>
          <w:lang w:val="en-US"/>
        </w:rPr>
        <w:t>acommunity</w:t>
      </w:r>
      <w:proofErr w:type="spellEnd"/>
      <w:r w:rsidRPr="00685A4E">
        <w:rPr>
          <w:rFonts w:eastAsia="Calibri" w:asciiTheme="minorHAnsi" w:hAnsiTheme="minorHAnsi" w:cstheme="minorHAnsi"/>
          <w:sz w:val="20"/>
          <w:lang w:val="en-US"/>
        </w:rPr>
        <w:t xml:space="preserve">-based population: the Framingham </w:t>
      </w:r>
      <w:proofErr w:type="spellStart"/>
      <w:r w:rsidRPr="00685A4E">
        <w:rPr>
          <w:rFonts w:eastAsia="Calibri" w:asciiTheme="minorHAnsi" w:hAnsiTheme="minorHAnsi" w:cstheme="minorHAnsi"/>
          <w:sz w:val="20"/>
          <w:lang w:val="en-US"/>
        </w:rPr>
        <w:t>HeartStudy</w:t>
      </w:r>
      <w:proofErr w:type="spellEnd"/>
      <w:r w:rsidRPr="00685A4E">
        <w:rPr>
          <w:rFonts w:eastAsia="Calibri" w:asciiTheme="minorHAnsi" w:hAnsiTheme="minorHAnsi" w:cstheme="minorHAnsi"/>
          <w:sz w:val="20"/>
          <w:lang w:val="en-US"/>
        </w:rPr>
        <w:t>. J Am Soc Nephrol 2004; 15: 2457–2461</w:t>
      </w:r>
    </w:p>
    <w:p w:rsidRPr="00685A4E" w:rsidR="00A46B90" w:rsidP="00685A4E" w:rsidRDefault="00A46B90" w14:paraId="6B3879F7"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18. Ko¨ </w:t>
      </w:r>
      <w:proofErr w:type="spellStart"/>
      <w:r w:rsidRPr="00685A4E">
        <w:rPr>
          <w:rFonts w:eastAsia="Calibri" w:asciiTheme="minorHAnsi" w:hAnsiTheme="minorHAnsi" w:cstheme="minorHAnsi"/>
          <w:sz w:val="20"/>
          <w:lang w:val="en-US"/>
        </w:rPr>
        <w:t>ttgen</w:t>
      </w:r>
      <w:proofErr w:type="spellEnd"/>
      <w:r w:rsidRPr="00685A4E">
        <w:rPr>
          <w:rFonts w:eastAsia="Calibri" w:asciiTheme="minorHAnsi" w:hAnsiTheme="minorHAnsi" w:cstheme="minorHAnsi"/>
          <w:sz w:val="20"/>
          <w:lang w:val="en-US"/>
        </w:rPr>
        <w:t xml:space="preserve"> A, </w:t>
      </w:r>
      <w:proofErr w:type="spellStart"/>
      <w:r w:rsidRPr="00685A4E">
        <w:rPr>
          <w:rFonts w:eastAsia="Calibri" w:asciiTheme="minorHAnsi" w:hAnsiTheme="minorHAnsi" w:cstheme="minorHAnsi"/>
          <w:sz w:val="20"/>
          <w:lang w:val="en-US"/>
        </w:rPr>
        <w:t>Pattaro</w:t>
      </w:r>
      <w:proofErr w:type="spellEnd"/>
      <w:r w:rsidRPr="00685A4E">
        <w:rPr>
          <w:rFonts w:eastAsia="Calibri" w:asciiTheme="minorHAnsi" w:hAnsiTheme="minorHAnsi" w:cstheme="minorHAnsi"/>
          <w:sz w:val="20"/>
          <w:lang w:val="en-US"/>
        </w:rPr>
        <w:t xml:space="preserve"> C, Bo¨ ger CA et al. New loci associated </w:t>
      </w:r>
      <w:proofErr w:type="spellStart"/>
      <w:r w:rsidRPr="00685A4E">
        <w:rPr>
          <w:rFonts w:eastAsia="Calibri" w:asciiTheme="minorHAnsi" w:hAnsiTheme="minorHAnsi" w:cstheme="minorHAnsi"/>
          <w:sz w:val="20"/>
          <w:lang w:val="en-US"/>
        </w:rPr>
        <w:t>withkidney</w:t>
      </w:r>
      <w:proofErr w:type="spellEnd"/>
      <w:r w:rsidRPr="00685A4E">
        <w:rPr>
          <w:rFonts w:eastAsia="Calibri" w:asciiTheme="minorHAnsi" w:hAnsiTheme="minorHAnsi" w:cstheme="minorHAnsi"/>
          <w:sz w:val="20"/>
          <w:lang w:val="en-US"/>
        </w:rPr>
        <w:t xml:space="preserve"> function and chronic kidney disease. Nat Genet 2010;42: 376–384</w:t>
      </w:r>
    </w:p>
    <w:p w:rsidRPr="00685A4E" w:rsidR="00DE2D37" w:rsidP="00685A4E" w:rsidRDefault="00A46B90" w14:paraId="70ABDB69"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19. Tin A, Ko¨ </w:t>
      </w:r>
      <w:proofErr w:type="spellStart"/>
      <w:r w:rsidRPr="00685A4E">
        <w:rPr>
          <w:rFonts w:eastAsia="Calibri" w:asciiTheme="minorHAnsi" w:hAnsiTheme="minorHAnsi" w:cstheme="minorHAnsi"/>
          <w:sz w:val="20"/>
          <w:lang w:val="en-US"/>
        </w:rPr>
        <w:t>ttgen</w:t>
      </w:r>
      <w:proofErr w:type="spellEnd"/>
      <w:r w:rsidRPr="00685A4E">
        <w:rPr>
          <w:rFonts w:eastAsia="Calibri" w:asciiTheme="minorHAnsi" w:hAnsiTheme="minorHAnsi" w:cstheme="minorHAnsi"/>
          <w:sz w:val="20"/>
          <w:lang w:val="en-US"/>
        </w:rPr>
        <w:t xml:space="preserve"> A. Genome-wide association studies of </w:t>
      </w:r>
      <w:proofErr w:type="spellStart"/>
      <w:r w:rsidRPr="00685A4E">
        <w:rPr>
          <w:rFonts w:eastAsia="Calibri" w:asciiTheme="minorHAnsi" w:hAnsiTheme="minorHAnsi" w:cstheme="minorHAnsi"/>
          <w:sz w:val="20"/>
          <w:lang w:val="en-US"/>
        </w:rPr>
        <w:t>CKDand</w:t>
      </w:r>
      <w:proofErr w:type="spellEnd"/>
      <w:r w:rsidRPr="00685A4E">
        <w:rPr>
          <w:rFonts w:eastAsia="Calibri" w:asciiTheme="minorHAnsi" w:hAnsiTheme="minorHAnsi" w:cstheme="minorHAnsi"/>
          <w:sz w:val="20"/>
          <w:lang w:val="en-US"/>
        </w:rPr>
        <w:t xml:space="preserve"> related traits. Clin J Am Soc Nephrol 2020; 15: 1643–1656</w:t>
      </w:r>
    </w:p>
    <w:p w:rsidRPr="00685A4E" w:rsidR="00A46B90" w:rsidP="00685A4E" w:rsidRDefault="00A46B90" w14:paraId="0C0D2D87"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20. </w:t>
      </w:r>
      <w:proofErr w:type="spellStart"/>
      <w:r w:rsidRPr="00685A4E">
        <w:rPr>
          <w:rFonts w:eastAsia="Calibri" w:asciiTheme="minorHAnsi" w:hAnsiTheme="minorHAnsi" w:cstheme="minorHAnsi"/>
          <w:sz w:val="20"/>
          <w:lang w:val="en-US"/>
        </w:rPr>
        <w:t>Teumer</w:t>
      </w:r>
      <w:proofErr w:type="spellEnd"/>
      <w:r w:rsidRPr="00685A4E">
        <w:rPr>
          <w:rFonts w:eastAsia="Calibri" w:asciiTheme="minorHAnsi" w:hAnsiTheme="minorHAnsi" w:cstheme="minorHAnsi"/>
          <w:sz w:val="20"/>
          <w:lang w:val="en-US"/>
        </w:rPr>
        <w:t xml:space="preserve"> A, Li Y, </w:t>
      </w:r>
      <w:proofErr w:type="spellStart"/>
      <w:r w:rsidRPr="00685A4E">
        <w:rPr>
          <w:rFonts w:eastAsia="Calibri" w:asciiTheme="minorHAnsi" w:hAnsiTheme="minorHAnsi" w:cstheme="minorHAnsi"/>
          <w:sz w:val="20"/>
          <w:lang w:val="en-US"/>
        </w:rPr>
        <w:t>Ghasemi</w:t>
      </w:r>
      <w:proofErr w:type="spellEnd"/>
      <w:r w:rsidRPr="00685A4E">
        <w:rPr>
          <w:rFonts w:eastAsia="Calibri" w:asciiTheme="minorHAnsi" w:hAnsiTheme="minorHAnsi" w:cstheme="minorHAnsi"/>
          <w:sz w:val="20"/>
          <w:lang w:val="en-US"/>
        </w:rPr>
        <w:t xml:space="preserve"> S et al. Genome-wide </w:t>
      </w:r>
      <w:proofErr w:type="spellStart"/>
      <w:r w:rsidRPr="00685A4E">
        <w:rPr>
          <w:rFonts w:eastAsia="Calibri" w:asciiTheme="minorHAnsi" w:hAnsiTheme="minorHAnsi" w:cstheme="minorHAnsi"/>
          <w:sz w:val="20"/>
          <w:lang w:val="en-US"/>
        </w:rPr>
        <w:t>associationmeta</w:t>
      </w:r>
      <w:proofErr w:type="spellEnd"/>
      <w:r w:rsidRPr="00685A4E">
        <w:rPr>
          <w:rFonts w:eastAsia="Calibri" w:asciiTheme="minorHAnsi" w:hAnsiTheme="minorHAnsi" w:cstheme="minorHAnsi"/>
          <w:sz w:val="20"/>
          <w:lang w:val="en-US"/>
        </w:rPr>
        <w:t xml:space="preserve">-analyses and fine-mapping elucidate </w:t>
      </w:r>
      <w:proofErr w:type="spellStart"/>
      <w:r w:rsidRPr="00685A4E">
        <w:rPr>
          <w:rFonts w:eastAsia="Calibri" w:asciiTheme="minorHAnsi" w:hAnsiTheme="minorHAnsi" w:cstheme="minorHAnsi"/>
          <w:sz w:val="20"/>
          <w:lang w:val="en-US"/>
        </w:rPr>
        <w:t>pathwaysinfluencing</w:t>
      </w:r>
      <w:proofErr w:type="spellEnd"/>
      <w:r w:rsidRPr="00685A4E">
        <w:rPr>
          <w:rFonts w:eastAsia="Calibri" w:asciiTheme="minorHAnsi" w:hAnsiTheme="minorHAnsi" w:cstheme="minorHAnsi"/>
          <w:sz w:val="20"/>
          <w:lang w:val="en-US"/>
        </w:rPr>
        <w:t xml:space="preserve"> albuminuria. Nat Commun2019; 10: 4130</w:t>
      </w:r>
    </w:p>
    <w:p w:rsidRPr="00685A4E" w:rsidR="00A46B90" w:rsidP="00685A4E" w:rsidRDefault="00A46B90" w14:paraId="70985A8C"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21. Gorski M, Jung B, Li Y et al. Meta-analysis uncovers </w:t>
      </w:r>
      <w:proofErr w:type="spellStart"/>
      <w:r w:rsidRPr="00685A4E">
        <w:rPr>
          <w:rFonts w:eastAsia="Calibri" w:asciiTheme="minorHAnsi" w:hAnsiTheme="minorHAnsi" w:cstheme="minorHAnsi"/>
          <w:sz w:val="20"/>
          <w:lang w:val="en-US"/>
        </w:rPr>
        <w:t>genomewidesignificant</w:t>
      </w:r>
      <w:proofErr w:type="spellEnd"/>
      <w:r w:rsidRPr="00685A4E">
        <w:rPr>
          <w:rFonts w:eastAsia="Calibri" w:asciiTheme="minorHAnsi" w:hAnsiTheme="minorHAnsi" w:cstheme="minorHAnsi"/>
          <w:sz w:val="20"/>
          <w:lang w:val="en-US"/>
        </w:rPr>
        <w:t xml:space="preserve"> variants for rapid kidney function </w:t>
      </w:r>
      <w:proofErr w:type="spellStart"/>
      <w:r w:rsidRPr="00685A4E">
        <w:rPr>
          <w:rFonts w:eastAsia="Calibri" w:asciiTheme="minorHAnsi" w:hAnsiTheme="minorHAnsi" w:cstheme="minorHAnsi"/>
          <w:sz w:val="20"/>
          <w:lang w:val="en-US"/>
        </w:rPr>
        <w:t>decline.Kidney</w:t>
      </w:r>
      <w:proofErr w:type="spellEnd"/>
      <w:r w:rsidRPr="00685A4E">
        <w:rPr>
          <w:rFonts w:eastAsia="Calibri" w:asciiTheme="minorHAnsi" w:hAnsiTheme="minorHAnsi" w:cstheme="minorHAnsi"/>
          <w:sz w:val="20"/>
          <w:lang w:val="en-US"/>
        </w:rPr>
        <w:t xml:space="preserve"> Int 2021; 99: 926–939</w:t>
      </w:r>
    </w:p>
    <w:p w:rsidRPr="00685A4E" w:rsidR="00A46B90" w:rsidP="00685A4E" w:rsidRDefault="00A46B90" w14:paraId="1FD6AA24"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22. Kanji Z, Powe CE, Wenger JB et al. Genetic variation in APOL1associates with younger age at hemodialysis initiation. J </w:t>
      </w:r>
      <w:proofErr w:type="spellStart"/>
      <w:r w:rsidRPr="00685A4E">
        <w:rPr>
          <w:rFonts w:eastAsia="Calibri" w:asciiTheme="minorHAnsi" w:hAnsiTheme="minorHAnsi" w:cstheme="minorHAnsi"/>
          <w:sz w:val="20"/>
          <w:lang w:val="en-US"/>
        </w:rPr>
        <w:t>AmSoc</w:t>
      </w:r>
      <w:proofErr w:type="spellEnd"/>
      <w:r w:rsidRPr="00685A4E">
        <w:rPr>
          <w:rFonts w:eastAsia="Calibri" w:asciiTheme="minorHAnsi" w:hAnsiTheme="minorHAnsi" w:cstheme="minorHAnsi"/>
          <w:sz w:val="20"/>
          <w:lang w:val="en-US"/>
        </w:rPr>
        <w:t xml:space="preserve"> Nephrol 2011; 22: 2091–2097</w:t>
      </w:r>
    </w:p>
    <w:p w:rsidRPr="00685A4E" w:rsidR="00A46B90" w:rsidP="00685A4E" w:rsidRDefault="00A46B90" w14:paraId="0949F588"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23. Sanchez-Rodriguez E, Southard CT, </w:t>
      </w:r>
      <w:proofErr w:type="spellStart"/>
      <w:r w:rsidRPr="00685A4E">
        <w:rPr>
          <w:rFonts w:eastAsia="Calibri" w:asciiTheme="minorHAnsi" w:hAnsiTheme="minorHAnsi" w:cstheme="minorHAnsi"/>
          <w:sz w:val="20"/>
          <w:lang w:val="en-US"/>
        </w:rPr>
        <w:t>Kiryluk</w:t>
      </w:r>
      <w:proofErr w:type="spellEnd"/>
      <w:r w:rsidRPr="00685A4E">
        <w:rPr>
          <w:rFonts w:eastAsia="Calibri" w:asciiTheme="minorHAnsi" w:hAnsiTheme="minorHAnsi" w:cstheme="minorHAnsi"/>
          <w:sz w:val="20"/>
          <w:lang w:val="en-US"/>
        </w:rPr>
        <w:t xml:space="preserve"> K. GWAS-</w:t>
      </w:r>
      <w:proofErr w:type="spellStart"/>
      <w:r w:rsidRPr="00685A4E">
        <w:rPr>
          <w:rFonts w:eastAsia="Calibri" w:asciiTheme="minorHAnsi" w:hAnsiTheme="minorHAnsi" w:cstheme="minorHAnsi"/>
          <w:sz w:val="20"/>
          <w:lang w:val="en-US"/>
        </w:rPr>
        <w:t>baseddiscoveries</w:t>
      </w:r>
      <w:proofErr w:type="spellEnd"/>
      <w:r w:rsidRPr="00685A4E">
        <w:rPr>
          <w:rFonts w:eastAsia="Calibri" w:asciiTheme="minorHAnsi" w:hAnsiTheme="minorHAnsi" w:cstheme="minorHAnsi"/>
          <w:sz w:val="20"/>
          <w:lang w:val="en-US"/>
        </w:rPr>
        <w:t xml:space="preserve"> in IgA nephropathy, membranous </w:t>
      </w:r>
      <w:proofErr w:type="spellStart"/>
      <w:r w:rsidRPr="00685A4E">
        <w:rPr>
          <w:rFonts w:eastAsia="Calibri" w:asciiTheme="minorHAnsi" w:hAnsiTheme="minorHAnsi" w:cstheme="minorHAnsi"/>
          <w:sz w:val="20"/>
          <w:lang w:val="en-US"/>
        </w:rPr>
        <w:t>nephropathy,and</w:t>
      </w:r>
      <w:proofErr w:type="spellEnd"/>
      <w:r w:rsidRPr="00685A4E">
        <w:rPr>
          <w:rFonts w:eastAsia="Calibri" w:asciiTheme="minorHAnsi" w:hAnsiTheme="minorHAnsi" w:cstheme="minorHAnsi"/>
          <w:sz w:val="20"/>
          <w:lang w:val="en-US"/>
        </w:rPr>
        <w:t xml:space="preserve"> steroid sensitive nephrotic syndrome. Clin J Am </w:t>
      </w:r>
      <w:proofErr w:type="spellStart"/>
      <w:r w:rsidRPr="00685A4E">
        <w:rPr>
          <w:rFonts w:eastAsia="Calibri" w:asciiTheme="minorHAnsi" w:hAnsiTheme="minorHAnsi" w:cstheme="minorHAnsi"/>
          <w:sz w:val="20"/>
          <w:lang w:val="en-US"/>
        </w:rPr>
        <w:t>SocNephrol</w:t>
      </w:r>
      <w:proofErr w:type="spellEnd"/>
      <w:r w:rsidRPr="00685A4E">
        <w:rPr>
          <w:rFonts w:eastAsia="Calibri" w:asciiTheme="minorHAnsi" w:hAnsiTheme="minorHAnsi" w:cstheme="minorHAnsi"/>
          <w:sz w:val="20"/>
          <w:lang w:val="en-US"/>
        </w:rPr>
        <w:t xml:space="preserve"> 2020; 16: 458–466</w:t>
      </w:r>
    </w:p>
    <w:p w:rsidRPr="00685A4E" w:rsidR="00A46B90" w:rsidP="00685A4E" w:rsidRDefault="00A46B90" w14:paraId="755D1CB3"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24. Shashi V, McConkie-</w:t>
      </w:r>
      <w:proofErr w:type="spellStart"/>
      <w:r w:rsidRPr="00685A4E">
        <w:rPr>
          <w:rFonts w:eastAsia="Calibri" w:asciiTheme="minorHAnsi" w:hAnsiTheme="minorHAnsi" w:cstheme="minorHAnsi"/>
          <w:sz w:val="20"/>
          <w:lang w:val="en-US"/>
        </w:rPr>
        <w:t>Rosell</w:t>
      </w:r>
      <w:proofErr w:type="spellEnd"/>
      <w:r w:rsidRPr="00685A4E">
        <w:rPr>
          <w:rFonts w:eastAsia="Calibri" w:asciiTheme="minorHAnsi" w:hAnsiTheme="minorHAnsi" w:cstheme="minorHAnsi"/>
          <w:sz w:val="20"/>
          <w:lang w:val="en-US"/>
        </w:rPr>
        <w:t xml:space="preserve"> A, </w:t>
      </w:r>
      <w:proofErr w:type="spellStart"/>
      <w:r w:rsidRPr="00685A4E">
        <w:rPr>
          <w:rFonts w:eastAsia="Calibri" w:asciiTheme="minorHAnsi" w:hAnsiTheme="minorHAnsi" w:cstheme="minorHAnsi"/>
          <w:sz w:val="20"/>
          <w:lang w:val="en-US"/>
        </w:rPr>
        <w:t>Rosell</w:t>
      </w:r>
      <w:proofErr w:type="spellEnd"/>
      <w:r w:rsidRPr="00685A4E">
        <w:rPr>
          <w:rFonts w:eastAsia="Calibri" w:asciiTheme="minorHAnsi" w:hAnsiTheme="minorHAnsi" w:cstheme="minorHAnsi"/>
          <w:sz w:val="20"/>
          <w:lang w:val="en-US"/>
        </w:rPr>
        <w:t xml:space="preserve"> B et al. The utility of </w:t>
      </w:r>
      <w:proofErr w:type="spellStart"/>
      <w:r w:rsidRPr="00685A4E">
        <w:rPr>
          <w:rFonts w:eastAsia="Calibri" w:asciiTheme="minorHAnsi" w:hAnsiTheme="minorHAnsi" w:cstheme="minorHAnsi"/>
          <w:sz w:val="20"/>
          <w:lang w:val="en-US"/>
        </w:rPr>
        <w:t>thetraditional</w:t>
      </w:r>
      <w:proofErr w:type="spellEnd"/>
      <w:r w:rsidRPr="00685A4E">
        <w:rPr>
          <w:rFonts w:eastAsia="Calibri" w:asciiTheme="minorHAnsi" w:hAnsiTheme="minorHAnsi" w:cstheme="minorHAnsi"/>
          <w:sz w:val="20"/>
          <w:lang w:val="en-US"/>
        </w:rPr>
        <w:t xml:space="preserve"> medical genetics diagnostic evaluation in </w:t>
      </w:r>
      <w:proofErr w:type="spellStart"/>
      <w:r w:rsidRPr="00685A4E">
        <w:rPr>
          <w:rFonts w:eastAsia="Calibri" w:asciiTheme="minorHAnsi" w:hAnsiTheme="minorHAnsi" w:cstheme="minorHAnsi"/>
          <w:sz w:val="20"/>
          <w:lang w:val="en-US"/>
        </w:rPr>
        <w:t>thecontext</w:t>
      </w:r>
      <w:proofErr w:type="spellEnd"/>
      <w:r w:rsidRPr="00685A4E">
        <w:rPr>
          <w:rFonts w:eastAsia="Calibri" w:asciiTheme="minorHAnsi" w:hAnsiTheme="minorHAnsi" w:cstheme="minorHAnsi"/>
          <w:sz w:val="20"/>
          <w:lang w:val="en-US"/>
        </w:rPr>
        <w:t xml:space="preserve"> of next-generation sequencing for undiagnosed </w:t>
      </w:r>
      <w:proofErr w:type="spellStart"/>
      <w:r w:rsidRPr="00685A4E">
        <w:rPr>
          <w:rFonts w:eastAsia="Calibri" w:asciiTheme="minorHAnsi" w:hAnsiTheme="minorHAnsi" w:cstheme="minorHAnsi"/>
          <w:sz w:val="20"/>
          <w:lang w:val="en-US"/>
        </w:rPr>
        <w:t>geneticdisorders</w:t>
      </w:r>
      <w:proofErr w:type="spellEnd"/>
      <w:r w:rsidRPr="00685A4E">
        <w:rPr>
          <w:rFonts w:eastAsia="Calibri" w:asciiTheme="minorHAnsi" w:hAnsiTheme="minorHAnsi" w:cstheme="minorHAnsi"/>
          <w:sz w:val="20"/>
          <w:lang w:val="en-US"/>
        </w:rPr>
        <w:t>. Genet Med 2014; 16: 176–182</w:t>
      </w:r>
    </w:p>
    <w:p w:rsidRPr="00685A4E" w:rsidR="00A46B90" w:rsidP="00685A4E" w:rsidRDefault="00A46B90" w14:paraId="1022E502"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25. Sun Y, </w:t>
      </w:r>
      <w:proofErr w:type="spellStart"/>
      <w:r w:rsidRPr="00685A4E">
        <w:rPr>
          <w:rFonts w:eastAsia="Calibri" w:asciiTheme="minorHAnsi" w:hAnsiTheme="minorHAnsi" w:cstheme="minorHAnsi"/>
          <w:sz w:val="20"/>
          <w:lang w:val="en-US"/>
        </w:rPr>
        <w:t>Ruivenkamp</w:t>
      </w:r>
      <w:proofErr w:type="spellEnd"/>
      <w:r w:rsidRPr="00685A4E">
        <w:rPr>
          <w:rFonts w:eastAsia="Calibri" w:asciiTheme="minorHAnsi" w:hAnsiTheme="minorHAnsi" w:cstheme="minorHAnsi"/>
          <w:sz w:val="20"/>
          <w:lang w:val="en-US"/>
        </w:rPr>
        <w:t xml:space="preserve"> CAL, Hoffer MJV et al. Next-</w:t>
      </w:r>
      <w:proofErr w:type="spellStart"/>
      <w:r w:rsidRPr="00685A4E">
        <w:rPr>
          <w:rFonts w:eastAsia="Calibri" w:asciiTheme="minorHAnsi" w:hAnsiTheme="minorHAnsi" w:cstheme="minorHAnsi"/>
          <w:sz w:val="20"/>
          <w:lang w:val="en-US"/>
        </w:rPr>
        <w:t>generationdiagnostics</w:t>
      </w:r>
      <w:proofErr w:type="spellEnd"/>
      <w:r w:rsidRPr="00685A4E">
        <w:rPr>
          <w:rFonts w:eastAsia="Calibri" w:asciiTheme="minorHAnsi" w:hAnsiTheme="minorHAnsi" w:cstheme="minorHAnsi"/>
          <w:sz w:val="20"/>
          <w:lang w:val="en-US"/>
        </w:rPr>
        <w:t>: gene panel, exome, or whole genome? HumMutat2015; 36: 648–655</w:t>
      </w:r>
    </w:p>
    <w:p w:rsidRPr="00685A4E" w:rsidR="00A46B90" w:rsidP="00685A4E" w:rsidRDefault="00A46B90" w14:paraId="25B83972"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26. </w:t>
      </w:r>
      <w:proofErr w:type="spellStart"/>
      <w:r w:rsidRPr="00685A4E">
        <w:rPr>
          <w:rFonts w:eastAsia="Calibri" w:asciiTheme="minorHAnsi" w:hAnsiTheme="minorHAnsi" w:cstheme="minorHAnsi"/>
          <w:sz w:val="20"/>
          <w:lang w:val="en-US"/>
        </w:rPr>
        <w:t>Groopman</w:t>
      </w:r>
      <w:proofErr w:type="spellEnd"/>
      <w:r w:rsidRPr="00685A4E">
        <w:rPr>
          <w:rFonts w:eastAsia="Calibri" w:asciiTheme="minorHAnsi" w:hAnsiTheme="minorHAnsi" w:cstheme="minorHAnsi"/>
          <w:sz w:val="20"/>
          <w:lang w:val="en-US"/>
        </w:rPr>
        <w:t xml:space="preserve"> EE, </w:t>
      </w:r>
      <w:proofErr w:type="spellStart"/>
      <w:r w:rsidRPr="00685A4E">
        <w:rPr>
          <w:rFonts w:eastAsia="Calibri" w:asciiTheme="minorHAnsi" w:hAnsiTheme="minorHAnsi" w:cstheme="minorHAnsi"/>
          <w:sz w:val="20"/>
          <w:lang w:val="en-US"/>
        </w:rPr>
        <w:t>Rasouly</w:t>
      </w:r>
      <w:proofErr w:type="spellEnd"/>
      <w:r w:rsidRPr="00685A4E">
        <w:rPr>
          <w:rFonts w:eastAsia="Calibri" w:asciiTheme="minorHAnsi" w:hAnsiTheme="minorHAnsi" w:cstheme="minorHAnsi"/>
          <w:sz w:val="20"/>
          <w:lang w:val="en-US"/>
        </w:rPr>
        <w:t xml:space="preserve"> HM, </w:t>
      </w:r>
      <w:proofErr w:type="spellStart"/>
      <w:r w:rsidRPr="00685A4E">
        <w:rPr>
          <w:rFonts w:eastAsia="Calibri" w:asciiTheme="minorHAnsi" w:hAnsiTheme="minorHAnsi" w:cstheme="minorHAnsi"/>
          <w:sz w:val="20"/>
          <w:lang w:val="en-US"/>
        </w:rPr>
        <w:t>Gharavi</w:t>
      </w:r>
      <w:proofErr w:type="spellEnd"/>
      <w:r w:rsidRPr="00685A4E">
        <w:rPr>
          <w:rFonts w:eastAsia="Calibri" w:asciiTheme="minorHAnsi" w:hAnsiTheme="minorHAnsi" w:cstheme="minorHAnsi"/>
          <w:sz w:val="20"/>
          <w:lang w:val="en-US"/>
        </w:rPr>
        <w:t xml:space="preserve"> AG. Genomic </w:t>
      </w:r>
      <w:proofErr w:type="spellStart"/>
      <w:r w:rsidRPr="00685A4E">
        <w:rPr>
          <w:rFonts w:eastAsia="Calibri" w:asciiTheme="minorHAnsi" w:hAnsiTheme="minorHAnsi" w:cstheme="minorHAnsi"/>
          <w:sz w:val="20"/>
          <w:lang w:val="en-US"/>
        </w:rPr>
        <w:t>medicinefor</w:t>
      </w:r>
      <w:proofErr w:type="spellEnd"/>
      <w:r w:rsidRPr="00685A4E">
        <w:rPr>
          <w:rFonts w:eastAsia="Calibri" w:asciiTheme="minorHAnsi" w:hAnsiTheme="minorHAnsi" w:cstheme="minorHAnsi"/>
          <w:sz w:val="20"/>
          <w:lang w:val="en-US"/>
        </w:rPr>
        <w:t xml:space="preserve"> kidney disease. Nat Rev Nephrol 2018; 14: 83–104</w:t>
      </w:r>
    </w:p>
    <w:p w:rsidRPr="00685A4E" w:rsidR="00A46B90" w:rsidP="00685A4E" w:rsidRDefault="00A46B90" w14:paraId="27809B57"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27. </w:t>
      </w:r>
      <w:proofErr w:type="spellStart"/>
      <w:r w:rsidRPr="00685A4E">
        <w:rPr>
          <w:rFonts w:eastAsia="Calibri" w:asciiTheme="minorHAnsi" w:hAnsiTheme="minorHAnsi" w:cstheme="minorHAnsi"/>
          <w:sz w:val="20"/>
          <w:lang w:val="en-US"/>
        </w:rPr>
        <w:t>Strande</w:t>
      </w:r>
      <w:proofErr w:type="spellEnd"/>
      <w:r w:rsidRPr="00685A4E">
        <w:rPr>
          <w:rFonts w:eastAsia="Calibri" w:asciiTheme="minorHAnsi" w:hAnsiTheme="minorHAnsi" w:cstheme="minorHAnsi"/>
          <w:sz w:val="20"/>
          <w:lang w:val="en-US"/>
        </w:rPr>
        <w:t xml:space="preserve"> NT, Riggs ER, Buchanan AH et al. Evaluating the </w:t>
      </w:r>
      <w:proofErr w:type="spellStart"/>
      <w:r w:rsidRPr="00685A4E">
        <w:rPr>
          <w:rFonts w:eastAsia="Calibri" w:asciiTheme="minorHAnsi" w:hAnsiTheme="minorHAnsi" w:cstheme="minorHAnsi"/>
          <w:sz w:val="20"/>
          <w:lang w:val="en-US"/>
        </w:rPr>
        <w:t>clinicalvalidity</w:t>
      </w:r>
      <w:proofErr w:type="spellEnd"/>
      <w:r w:rsidRPr="00685A4E">
        <w:rPr>
          <w:rFonts w:eastAsia="Calibri" w:asciiTheme="minorHAnsi" w:hAnsiTheme="minorHAnsi" w:cstheme="minorHAnsi"/>
          <w:sz w:val="20"/>
          <w:lang w:val="en-US"/>
        </w:rPr>
        <w:t xml:space="preserve"> of gene-disease associations: an evidence-</w:t>
      </w:r>
      <w:proofErr w:type="spellStart"/>
      <w:r w:rsidRPr="00685A4E">
        <w:rPr>
          <w:rFonts w:eastAsia="Calibri" w:asciiTheme="minorHAnsi" w:hAnsiTheme="minorHAnsi" w:cstheme="minorHAnsi"/>
          <w:sz w:val="20"/>
          <w:lang w:val="en-US"/>
        </w:rPr>
        <w:t>basedframework</w:t>
      </w:r>
      <w:proofErr w:type="spellEnd"/>
      <w:r w:rsidRPr="00685A4E">
        <w:rPr>
          <w:rFonts w:eastAsia="Calibri" w:asciiTheme="minorHAnsi" w:hAnsiTheme="minorHAnsi" w:cstheme="minorHAnsi"/>
          <w:sz w:val="20"/>
          <w:lang w:val="en-US"/>
        </w:rPr>
        <w:t xml:space="preserve"> developed by the clinical genome resource. Am </w:t>
      </w:r>
      <w:proofErr w:type="spellStart"/>
      <w:r w:rsidRPr="00685A4E">
        <w:rPr>
          <w:rFonts w:eastAsia="Calibri" w:asciiTheme="minorHAnsi" w:hAnsiTheme="minorHAnsi" w:cstheme="minorHAnsi"/>
          <w:sz w:val="20"/>
          <w:lang w:val="en-US"/>
        </w:rPr>
        <w:t>JHum</w:t>
      </w:r>
      <w:proofErr w:type="spellEnd"/>
      <w:r w:rsidRPr="00685A4E">
        <w:rPr>
          <w:rFonts w:eastAsia="Calibri" w:asciiTheme="minorHAnsi" w:hAnsiTheme="minorHAnsi" w:cstheme="minorHAnsi"/>
          <w:sz w:val="20"/>
          <w:lang w:val="en-US"/>
        </w:rPr>
        <w:t xml:space="preserve"> Genet 2017; 100: 895–</w:t>
      </w:r>
      <w:proofErr w:type="gramStart"/>
      <w:r w:rsidRPr="00685A4E">
        <w:rPr>
          <w:rFonts w:eastAsia="Calibri" w:asciiTheme="minorHAnsi" w:hAnsiTheme="minorHAnsi" w:cstheme="minorHAnsi"/>
          <w:sz w:val="20"/>
          <w:lang w:val="en-US"/>
        </w:rPr>
        <w:t>906</w:t>
      </w:r>
      <w:proofErr w:type="gramEnd"/>
    </w:p>
    <w:p w:rsidRPr="00685A4E" w:rsidR="00A46B90" w:rsidP="00685A4E" w:rsidRDefault="00A46B90" w14:paraId="0BD412AE"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28. Richards S, Aziz N, Bale S et al. Standards and guidelines </w:t>
      </w:r>
      <w:proofErr w:type="spellStart"/>
      <w:r w:rsidRPr="00685A4E">
        <w:rPr>
          <w:rFonts w:eastAsia="Calibri" w:asciiTheme="minorHAnsi" w:hAnsiTheme="minorHAnsi" w:cstheme="minorHAnsi"/>
          <w:sz w:val="20"/>
          <w:lang w:val="en-US"/>
        </w:rPr>
        <w:t>forthe</w:t>
      </w:r>
      <w:proofErr w:type="spellEnd"/>
      <w:r w:rsidRPr="00685A4E">
        <w:rPr>
          <w:rFonts w:eastAsia="Calibri" w:asciiTheme="minorHAnsi" w:hAnsiTheme="minorHAnsi" w:cstheme="minorHAnsi"/>
          <w:sz w:val="20"/>
          <w:lang w:val="en-US"/>
        </w:rPr>
        <w:t xml:space="preserve"> interpretation of sequence variants: a joint </w:t>
      </w:r>
      <w:proofErr w:type="spellStart"/>
      <w:r w:rsidRPr="00685A4E">
        <w:rPr>
          <w:rFonts w:eastAsia="Calibri" w:asciiTheme="minorHAnsi" w:hAnsiTheme="minorHAnsi" w:cstheme="minorHAnsi"/>
          <w:sz w:val="20"/>
          <w:lang w:val="en-US"/>
        </w:rPr>
        <w:t>consensusrecommendation</w:t>
      </w:r>
      <w:proofErr w:type="spellEnd"/>
      <w:r w:rsidRPr="00685A4E">
        <w:rPr>
          <w:rFonts w:eastAsia="Calibri" w:asciiTheme="minorHAnsi" w:hAnsiTheme="minorHAnsi" w:cstheme="minorHAnsi"/>
          <w:sz w:val="20"/>
          <w:lang w:val="en-US"/>
        </w:rPr>
        <w:t xml:space="preserve"> of the American College of </w:t>
      </w:r>
      <w:proofErr w:type="spellStart"/>
      <w:r w:rsidRPr="00685A4E">
        <w:rPr>
          <w:rFonts w:eastAsia="Calibri" w:asciiTheme="minorHAnsi" w:hAnsiTheme="minorHAnsi" w:cstheme="minorHAnsi"/>
          <w:sz w:val="20"/>
          <w:lang w:val="en-US"/>
        </w:rPr>
        <w:t>MedicalGenetics</w:t>
      </w:r>
      <w:proofErr w:type="spellEnd"/>
      <w:r w:rsidRPr="00685A4E">
        <w:rPr>
          <w:rFonts w:eastAsia="Calibri" w:asciiTheme="minorHAnsi" w:hAnsiTheme="minorHAnsi" w:cstheme="minorHAnsi"/>
          <w:sz w:val="20"/>
          <w:lang w:val="en-US"/>
        </w:rPr>
        <w:t xml:space="preserve"> and Genomics and the Association for </w:t>
      </w:r>
      <w:proofErr w:type="spellStart"/>
      <w:r w:rsidRPr="00685A4E">
        <w:rPr>
          <w:rFonts w:eastAsia="Calibri" w:asciiTheme="minorHAnsi" w:hAnsiTheme="minorHAnsi" w:cstheme="minorHAnsi"/>
          <w:sz w:val="20"/>
          <w:lang w:val="en-US"/>
        </w:rPr>
        <w:t>MolecularPathology</w:t>
      </w:r>
      <w:proofErr w:type="spellEnd"/>
      <w:r w:rsidRPr="00685A4E">
        <w:rPr>
          <w:rFonts w:eastAsia="Calibri" w:asciiTheme="minorHAnsi" w:hAnsiTheme="minorHAnsi" w:cstheme="minorHAnsi"/>
          <w:sz w:val="20"/>
          <w:lang w:val="en-US"/>
        </w:rPr>
        <w:t>. Genet Med 2015; 17: 405–424</w:t>
      </w:r>
    </w:p>
    <w:p w:rsidRPr="00685A4E" w:rsidR="00A46B90" w:rsidP="00685A4E" w:rsidRDefault="00A46B90" w14:paraId="61DD47EB"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29. </w:t>
      </w:r>
      <w:proofErr w:type="spellStart"/>
      <w:r w:rsidRPr="00685A4E">
        <w:rPr>
          <w:rFonts w:eastAsia="Calibri" w:asciiTheme="minorHAnsi" w:hAnsiTheme="minorHAnsi" w:cstheme="minorHAnsi"/>
          <w:sz w:val="20"/>
          <w:lang w:val="en-US"/>
        </w:rPr>
        <w:t>Sboner</w:t>
      </w:r>
      <w:proofErr w:type="spellEnd"/>
      <w:r w:rsidRPr="00685A4E">
        <w:rPr>
          <w:rFonts w:eastAsia="Calibri" w:asciiTheme="minorHAnsi" w:hAnsiTheme="minorHAnsi" w:cstheme="minorHAnsi"/>
          <w:sz w:val="20"/>
          <w:lang w:val="en-US"/>
        </w:rPr>
        <w:t xml:space="preserve"> A, Mu XJ, Greenbaum D et al. The real cost of </w:t>
      </w:r>
      <w:proofErr w:type="spellStart"/>
      <w:proofErr w:type="gramStart"/>
      <w:r w:rsidRPr="00685A4E">
        <w:rPr>
          <w:rFonts w:eastAsia="Calibri" w:asciiTheme="minorHAnsi" w:hAnsiTheme="minorHAnsi" w:cstheme="minorHAnsi"/>
          <w:sz w:val="20"/>
          <w:lang w:val="en-US"/>
        </w:rPr>
        <w:t>sequencing:higher</w:t>
      </w:r>
      <w:proofErr w:type="spellEnd"/>
      <w:proofErr w:type="gramEnd"/>
      <w:r w:rsidRPr="00685A4E">
        <w:rPr>
          <w:rFonts w:eastAsia="Calibri" w:asciiTheme="minorHAnsi" w:hAnsiTheme="minorHAnsi" w:cstheme="minorHAnsi"/>
          <w:sz w:val="20"/>
          <w:lang w:val="en-US"/>
        </w:rPr>
        <w:t xml:space="preserve"> than you think! Genome Biol 2011; 12: 125</w:t>
      </w:r>
    </w:p>
    <w:p w:rsidRPr="00685A4E" w:rsidR="00A46B90" w:rsidP="00685A4E" w:rsidRDefault="00A46B90" w14:paraId="011CF0BF"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30. Kirby A, </w:t>
      </w:r>
      <w:proofErr w:type="spellStart"/>
      <w:r w:rsidRPr="00685A4E">
        <w:rPr>
          <w:rFonts w:eastAsia="Calibri" w:asciiTheme="minorHAnsi" w:hAnsiTheme="minorHAnsi" w:cstheme="minorHAnsi"/>
          <w:sz w:val="20"/>
          <w:lang w:val="en-US"/>
        </w:rPr>
        <w:t>Gnirke</w:t>
      </w:r>
      <w:proofErr w:type="spellEnd"/>
      <w:r w:rsidRPr="00685A4E">
        <w:rPr>
          <w:rFonts w:eastAsia="Calibri" w:asciiTheme="minorHAnsi" w:hAnsiTheme="minorHAnsi" w:cstheme="minorHAnsi"/>
          <w:sz w:val="20"/>
          <w:lang w:val="en-US"/>
        </w:rPr>
        <w:t xml:space="preserve"> A, Jaffe DB et al. Mutations causing </w:t>
      </w:r>
      <w:proofErr w:type="spellStart"/>
      <w:r w:rsidRPr="00685A4E">
        <w:rPr>
          <w:rFonts w:eastAsia="Calibri" w:asciiTheme="minorHAnsi" w:hAnsiTheme="minorHAnsi" w:cstheme="minorHAnsi"/>
          <w:sz w:val="20"/>
          <w:lang w:val="en-US"/>
        </w:rPr>
        <w:t>medullarycystic</w:t>
      </w:r>
      <w:proofErr w:type="spellEnd"/>
      <w:r w:rsidRPr="00685A4E">
        <w:rPr>
          <w:rFonts w:eastAsia="Calibri" w:asciiTheme="minorHAnsi" w:hAnsiTheme="minorHAnsi" w:cstheme="minorHAnsi"/>
          <w:sz w:val="20"/>
          <w:lang w:val="en-US"/>
        </w:rPr>
        <w:t xml:space="preserve"> kidney disease type 1 lie in a large VNTR in MUC1missed by massively parallel sequencing. Nat Genet 2013; 45:299–303</w:t>
      </w:r>
    </w:p>
    <w:p w:rsidRPr="00685A4E" w:rsidR="00A46B90" w:rsidP="00685A4E" w:rsidRDefault="00A46B90" w14:paraId="4E4C71DA"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31. </w:t>
      </w:r>
      <w:proofErr w:type="spellStart"/>
      <w:r w:rsidRPr="00685A4E">
        <w:rPr>
          <w:rFonts w:eastAsia="Calibri" w:asciiTheme="minorHAnsi" w:hAnsiTheme="minorHAnsi" w:cstheme="minorHAnsi"/>
          <w:sz w:val="20"/>
          <w:lang w:val="en-US"/>
        </w:rPr>
        <w:t>Ayasreh</w:t>
      </w:r>
      <w:proofErr w:type="spellEnd"/>
      <w:r w:rsidRPr="00685A4E">
        <w:rPr>
          <w:rFonts w:eastAsia="Calibri" w:asciiTheme="minorHAnsi" w:hAnsiTheme="minorHAnsi" w:cstheme="minorHAnsi"/>
          <w:sz w:val="20"/>
          <w:lang w:val="en-US"/>
        </w:rPr>
        <w:t xml:space="preserve"> N, </w:t>
      </w:r>
      <w:proofErr w:type="spellStart"/>
      <w:r w:rsidRPr="00685A4E">
        <w:rPr>
          <w:rFonts w:eastAsia="Calibri" w:asciiTheme="minorHAnsi" w:hAnsiTheme="minorHAnsi" w:cstheme="minorHAnsi"/>
          <w:sz w:val="20"/>
          <w:lang w:val="en-US"/>
        </w:rPr>
        <w:t>Bullich</w:t>
      </w:r>
      <w:proofErr w:type="spellEnd"/>
      <w:r w:rsidRPr="00685A4E">
        <w:rPr>
          <w:rFonts w:eastAsia="Calibri" w:asciiTheme="minorHAnsi" w:hAnsiTheme="minorHAnsi" w:cstheme="minorHAnsi"/>
          <w:sz w:val="20"/>
          <w:lang w:val="en-US"/>
        </w:rPr>
        <w:t xml:space="preserve"> G, Miquel R et al. Autosomal </w:t>
      </w:r>
      <w:proofErr w:type="spellStart"/>
      <w:r w:rsidRPr="00685A4E">
        <w:rPr>
          <w:rFonts w:eastAsia="Calibri" w:asciiTheme="minorHAnsi" w:hAnsiTheme="minorHAnsi" w:cstheme="minorHAnsi"/>
          <w:sz w:val="20"/>
          <w:lang w:val="en-US"/>
        </w:rPr>
        <w:t>dominanttubulointerstitial</w:t>
      </w:r>
      <w:proofErr w:type="spellEnd"/>
      <w:r w:rsidRPr="00685A4E">
        <w:rPr>
          <w:rFonts w:eastAsia="Calibri" w:asciiTheme="minorHAnsi" w:hAnsiTheme="minorHAnsi" w:cstheme="minorHAnsi"/>
          <w:sz w:val="20"/>
          <w:lang w:val="en-US"/>
        </w:rPr>
        <w:t xml:space="preserve"> kidney disease: clinical presentation </w:t>
      </w:r>
      <w:proofErr w:type="spellStart"/>
      <w:r w:rsidRPr="00685A4E">
        <w:rPr>
          <w:rFonts w:eastAsia="Calibri" w:asciiTheme="minorHAnsi" w:hAnsiTheme="minorHAnsi" w:cstheme="minorHAnsi"/>
          <w:sz w:val="20"/>
          <w:lang w:val="en-US"/>
        </w:rPr>
        <w:t>ofpatients</w:t>
      </w:r>
      <w:proofErr w:type="spellEnd"/>
      <w:r w:rsidRPr="00685A4E">
        <w:rPr>
          <w:rFonts w:eastAsia="Calibri" w:asciiTheme="minorHAnsi" w:hAnsiTheme="minorHAnsi" w:cstheme="minorHAnsi"/>
          <w:sz w:val="20"/>
          <w:lang w:val="en-US"/>
        </w:rPr>
        <w:t xml:space="preserve"> with ADTKD-UMOD and ADTKD-MUC1. Am J </w:t>
      </w:r>
      <w:proofErr w:type="spellStart"/>
      <w:r w:rsidRPr="00685A4E">
        <w:rPr>
          <w:rFonts w:eastAsia="Calibri" w:asciiTheme="minorHAnsi" w:hAnsiTheme="minorHAnsi" w:cstheme="minorHAnsi"/>
          <w:sz w:val="20"/>
          <w:lang w:val="en-US"/>
        </w:rPr>
        <w:t>KidneyDis</w:t>
      </w:r>
      <w:proofErr w:type="spellEnd"/>
      <w:r w:rsidRPr="00685A4E">
        <w:rPr>
          <w:rFonts w:eastAsia="Calibri" w:asciiTheme="minorHAnsi" w:hAnsiTheme="minorHAnsi" w:cstheme="minorHAnsi"/>
          <w:sz w:val="20"/>
          <w:lang w:val="en-US"/>
        </w:rPr>
        <w:t xml:space="preserve"> 2018; 72: 411–</w:t>
      </w:r>
      <w:proofErr w:type="gramStart"/>
      <w:r w:rsidRPr="00685A4E">
        <w:rPr>
          <w:rFonts w:eastAsia="Calibri" w:asciiTheme="minorHAnsi" w:hAnsiTheme="minorHAnsi" w:cstheme="minorHAnsi"/>
          <w:sz w:val="20"/>
          <w:lang w:val="en-US"/>
        </w:rPr>
        <w:t>418</w:t>
      </w:r>
      <w:proofErr w:type="gramEnd"/>
    </w:p>
    <w:p w:rsidRPr="00685A4E" w:rsidR="001B6844" w:rsidP="00685A4E" w:rsidRDefault="00A46B90" w14:paraId="65B8A750" w14:textId="77777777">
      <w:pPr>
        <w:autoSpaceDE w:val="0"/>
        <w:autoSpaceDN w:val="0"/>
        <w:adjustRightInd w:val="0"/>
        <w:jc w:val="both"/>
        <w:rPr>
          <w:rFonts w:eastAsia="Calibri" w:asciiTheme="minorHAnsi" w:hAnsiTheme="minorHAnsi" w:cstheme="minorHAnsi"/>
          <w:sz w:val="20"/>
          <w:lang w:val="en-US"/>
        </w:rPr>
      </w:pPr>
      <w:r w:rsidRPr="00685A4E">
        <w:rPr>
          <w:rFonts w:eastAsia="Calibri" w:asciiTheme="minorHAnsi" w:hAnsiTheme="minorHAnsi" w:cstheme="minorHAnsi"/>
          <w:sz w:val="20"/>
          <w:lang w:val="en-US"/>
        </w:rPr>
        <w:t xml:space="preserve">32. </w:t>
      </w:r>
      <w:proofErr w:type="spellStart"/>
      <w:r w:rsidRPr="00685A4E">
        <w:rPr>
          <w:rFonts w:eastAsia="Calibri" w:asciiTheme="minorHAnsi" w:hAnsiTheme="minorHAnsi" w:cstheme="minorHAnsi"/>
          <w:sz w:val="20"/>
          <w:lang w:val="en-US"/>
        </w:rPr>
        <w:t>Ekici</w:t>
      </w:r>
      <w:proofErr w:type="spellEnd"/>
      <w:r w:rsidRPr="00685A4E">
        <w:rPr>
          <w:rFonts w:eastAsia="Calibri" w:asciiTheme="minorHAnsi" w:hAnsiTheme="minorHAnsi" w:cstheme="minorHAnsi"/>
          <w:sz w:val="20"/>
          <w:lang w:val="en-US"/>
        </w:rPr>
        <w:t xml:space="preserve"> AB, </w:t>
      </w:r>
      <w:proofErr w:type="spellStart"/>
      <w:r w:rsidRPr="00685A4E">
        <w:rPr>
          <w:rFonts w:eastAsia="Calibri" w:asciiTheme="minorHAnsi" w:hAnsiTheme="minorHAnsi" w:cstheme="minorHAnsi"/>
          <w:sz w:val="20"/>
          <w:lang w:val="en-US"/>
        </w:rPr>
        <w:t>Hackenbeck</w:t>
      </w:r>
      <w:proofErr w:type="spellEnd"/>
      <w:r w:rsidRPr="00685A4E">
        <w:rPr>
          <w:rFonts w:eastAsia="Calibri" w:asciiTheme="minorHAnsi" w:hAnsiTheme="minorHAnsi" w:cstheme="minorHAnsi"/>
          <w:sz w:val="20"/>
          <w:lang w:val="en-US"/>
        </w:rPr>
        <w:t xml:space="preserve"> T, </w:t>
      </w:r>
      <w:proofErr w:type="spellStart"/>
      <w:r w:rsidRPr="00685A4E">
        <w:rPr>
          <w:rFonts w:eastAsia="Calibri" w:asciiTheme="minorHAnsi" w:hAnsiTheme="minorHAnsi" w:cstheme="minorHAnsi"/>
          <w:sz w:val="20"/>
          <w:lang w:val="en-US"/>
        </w:rPr>
        <w:t>Morinie`re</w:t>
      </w:r>
      <w:proofErr w:type="spellEnd"/>
      <w:r w:rsidRPr="00685A4E">
        <w:rPr>
          <w:rFonts w:eastAsia="Calibri" w:asciiTheme="minorHAnsi" w:hAnsiTheme="minorHAnsi" w:cstheme="minorHAnsi"/>
          <w:sz w:val="20"/>
          <w:lang w:val="en-US"/>
        </w:rPr>
        <w:t xml:space="preserve"> V et al. Renal fibrosis </w:t>
      </w:r>
      <w:proofErr w:type="spellStart"/>
      <w:r w:rsidRPr="00685A4E">
        <w:rPr>
          <w:rFonts w:eastAsia="Calibri" w:asciiTheme="minorHAnsi" w:hAnsiTheme="minorHAnsi" w:cstheme="minorHAnsi"/>
          <w:sz w:val="20"/>
          <w:lang w:val="en-US"/>
        </w:rPr>
        <w:t>isthe</w:t>
      </w:r>
      <w:proofErr w:type="spellEnd"/>
      <w:r w:rsidRPr="00685A4E">
        <w:rPr>
          <w:rFonts w:eastAsia="Calibri" w:asciiTheme="minorHAnsi" w:hAnsiTheme="minorHAnsi" w:cstheme="minorHAnsi"/>
          <w:sz w:val="20"/>
          <w:lang w:val="en-US"/>
        </w:rPr>
        <w:t xml:space="preserve"> common feature of autosomal dominant </w:t>
      </w:r>
      <w:proofErr w:type="spellStart"/>
      <w:r w:rsidRPr="00685A4E">
        <w:rPr>
          <w:rFonts w:eastAsia="Calibri" w:asciiTheme="minorHAnsi" w:hAnsiTheme="minorHAnsi" w:cstheme="minorHAnsi"/>
          <w:sz w:val="20"/>
          <w:lang w:val="en-US"/>
        </w:rPr>
        <w:t>tubulointerstitialkidney</w:t>
      </w:r>
      <w:proofErr w:type="spellEnd"/>
      <w:r w:rsidRPr="00685A4E">
        <w:rPr>
          <w:rFonts w:eastAsia="Calibri" w:asciiTheme="minorHAnsi" w:hAnsiTheme="minorHAnsi" w:cstheme="minorHAnsi"/>
          <w:sz w:val="20"/>
          <w:lang w:val="en-US"/>
        </w:rPr>
        <w:t xml:space="preserve"> diseases caused by mutations in mucin 1 or </w:t>
      </w:r>
      <w:proofErr w:type="gramStart"/>
      <w:r w:rsidRPr="00685A4E">
        <w:rPr>
          <w:rFonts w:eastAsia="Calibri" w:asciiTheme="minorHAnsi" w:hAnsiTheme="minorHAnsi" w:cstheme="minorHAnsi"/>
          <w:sz w:val="20"/>
          <w:lang w:val="en-US"/>
        </w:rPr>
        <w:t>uromodulin.KidneyInt</w:t>
      </w:r>
      <w:proofErr w:type="gramEnd"/>
      <w:r w:rsidRPr="00685A4E">
        <w:rPr>
          <w:rFonts w:eastAsia="Calibri" w:asciiTheme="minorHAnsi" w:hAnsiTheme="minorHAnsi" w:cstheme="minorHAnsi"/>
          <w:sz w:val="20"/>
          <w:lang w:val="en-US"/>
        </w:rPr>
        <w:t>2014; 86: 589–599</w:t>
      </w:r>
    </w:p>
    <w:p w:rsidRPr="00685A4E" w:rsidR="00AD78CE" w:rsidP="00685A4E" w:rsidRDefault="00AD78CE" w14:paraId="5F0860C8" w14:textId="77777777">
      <w:pPr>
        <w:autoSpaceDE w:val="0"/>
        <w:autoSpaceDN w:val="0"/>
        <w:adjustRightInd w:val="0"/>
        <w:rPr>
          <w:rFonts w:eastAsia="Calibri" w:asciiTheme="minorHAnsi" w:hAnsiTheme="minorHAnsi" w:cstheme="minorHAnsi"/>
          <w:sz w:val="20"/>
          <w:lang w:val="en-US"/>
        </w:rPr>
      </w:pPr>
    </w:p>
    <w:p w:rsidRPr="00685A4E" w:rsidR="003C5B23" w:rsidP="00685A4E" w:rsidRDefault="003C5B23" w14:paraId="5F75C2AE" w14:textId="77777777">
      <w:pPr>
        <w:autoSpaceDE w:val="0"/>
        <w:autoSpaceDN w:val="0"/>
        <w:adjustRightInd w:val="0"/>
        <w:rPr>
          <w:rFonts w:eastAsia="Calibri" w:asciiTheme="minorHAnsi" w:hAnsiTheme="minorHAnsi" w:cstheme="minorHAnsi"/>
          <w:sz w:val="20"/>
          <w:lang w:val="en-US"/>
        </w:rPr>
      </w:pPr>
    </w:p>
    <w:p w:rsidRPr="00685A4E" w:rsidR="00C10FA8" w:rsidP="00685A4E" w:rsidRDefault="000844C1" w14:paraId="43BA67E0"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 xml:space="preserve">3 </w:t>
      </w:r>
      <w:r w:rsidRPr="00685A4E" w:rsidR="00403DDD">
        <w:rPr>
          <w:rFonts w:asciiTheme="minorHAnsi" w:hAnsiTheme="minorHAnsi" w:cstheme="minorHAnsi"/>
          <w:b/>
          <w:bCs/>
          <w:color w:val="auto"/>
          <w:sz w:val="20"/>
          <w:szCs w:val="20"/>
        </w:rPr>
        <w:tab/>
      </w:r>
      <w:proofErr w:type="gramStart"/>
      <w:r w:rsidRPr="00685A4E">
        <w:rPr>
          <w:rFonts w:asciiTheme="minorHAnsi" w:hAnsiTheme="minorHAnsi" w:cstheme="minorHAnsi"/>
          <w:b/>
          <w:bCs/>
          <w:color w:val="auto"/>
          <w:sz w:val="20"/>
          <w:szCs w:val="20"/>
        </w:rPr>
        <w:t>Hipótesis</w:t>
      </w:r>
      <w:proofErr w:type="gramEnd"/>
      <w:r w:rsidRPr="00685A4E">
        <w:rPr>
          <w:rFonts w:asciiTheme="minorHAnsi" w:hAnsiTheme="minorHAnsi" w:cstheme="minorHAnsi"/>
          <w:b/>
          <w:bCs/>
          <w:color w:val="auto"/>
          <w:sz w:val="20"/>
          <w:szCs w:val="20"/>
        </w:rPr>
        <w:t xml:space="preserve"> del </w:t>
      </w:r>
      <w:r w:rsidRPr="00685A4E" w:rsidR="00201B51">
        <w:rPr>
          <w:rFonts w:asciiTheme="minorHAnsi" w:hAnsiTheme="minorHAnsi" w:cstheme="minorHAnsi"/>
          <w:b/>
          <w:bCs/>
          <w:color w:val="auto"/>
          <w:sz w:val="20"/>
          <w:szCs w:val="20"/>
        </w:rPr>
        <w:t>estudio:</w:t>
      </w:r>
    </w:p>
    <w:p w:rsidRPr="00685A4E" w:rsidR="000B3F59" w:rsidP="00685A4E" w:rsidRDefault="000B3F59" w14:paraId="612FCDF8" w14:textId="2549A4A5">
      <w:pPr>
        <w:pStyle w:val="Default"/>
        <w:jc w:val="both"/>
        <w:rPr>
          <w:rFonts w:eastAsia="Calibri" w:asciiTheme="minorHAnsi" w:hAnsiTheme="minorHAnsi" w:cstheme="minorHAnsi"/>
          <w:color w:val="auto"/>
          <w:sz w:val="20"/>
          <w:szCs w:val="20"/>
        </w:rPr>
      </w:pPr>
      <w:r w:rsidRPr="00685A4E">
        <w:rPr>
          <w:rFonts w:eastAsia="Calibri" w:asciiTheme="minorHAnsi" w:hAnsiTheme="minorHAnsi" w:cstheme="minorHAnsi"/>
          <w:color w:val="auto"/>
          <w:sz w:val="20"/>
          <w:szCs w:val="20"/>
        </w:rPr>
        <w:t xml:space="preserve">La </w:t>
      </w:r>
      <w:r w:rsidRPr="00685A4E">
        <w:rPr>
          <w:rFonts w:eastAsia="Calibri" w:asciiTheme="minorHAnsi" w:hAnsiTheme="minorHAnsi" w:cstheme="minorHAnsi"/>
          <w:b/>
          <w:bCs/>
          <w:color w:val="auto"/>
          <w:sz w:val="20"/>
          <w:szCs w:val="20"/>
        </w:rPr>
        <w:t>hipótesis principal</w:t>
      </w:r>
      <w:r w:rsidRPr="00685A4E">
        <w:rPr>
          <w:rFonts w:eastAsia="Calibri" w:asciiTheme="minorHAnsi" w:hAnsiTheme="minorHAnsi" w:cstheme="minorHAnsi"/>
          <w:color w:val="auto"/>
          <w:sz w:val="20"/>
          <w:szCs w:val="20"/>
        </w:rPr>
        <w:t xml:space="preserve"> de este proyecto es que un alto porcentaje de pacientes con </w:t>
      </w:r>
      <w:r w:rsidRPr="00685A4E" w:rsidR="00115DFB">
        <w:rPr>
          <w:rFonts w:eastAsia="Calibri" w:asciiTheme="minorHAnsi" w:hAnsiTheme="minorHAnsi" w:cstheme="minorHAnsi"/>
          <w:color w:val="auto"/>
          <w:sz w:val="20"/>
          <w:szCs w:val="20"/>
        </w:rPr>
        <w:t xml:space="preserve">enfermedad </w:t>
      </w:r>
      <w:r w:rsidRPr="00685A4E">
        <w:rPr>
          <w:rFonts w:eastAsia="Calibri" w:asciiTheme="minorHAnsi" w:hAnsiTheme="minorHAnsi" w:cstheme="minorHAnsi"/>
          <w:color w:val="auto"/>
          <w:sz w:val="20"/>
          <w:szCs w:val="20"/>
        </w:rPr>
        <w:t>renal crónica sin una causa clara, tienen una enfermedad renal hereditaria. Por tanto, la aplicación de un estudio genético con técnicas de última generación permitiría identificar la causa exacta en un 15-30% de estos pacientes, confiriendo un diagnóstico de certeza con importantes implicaciones pronósticas y manejo individualizado.</w:t>
      </w:r>
    </w:p>
    <w:p w:rsidRPr="00685A4E" w:rsidR="003C5B23" w:rsidP="00685A4E" w:rsidRDefault="000B3F59" w14:paraId="01FD9BE2" w14:textId="098F379A">
      <w:pPr>
        <w:pStyle w:val="Default"/>
        <w:jc w:val="both"/>
        <w:rPr>
          <w:rFonts w:eastAsia="Calibri" w:asciiTheme="minorHAnsi" w:hAnsiTheme="minorHAnsi" w:cstheme="minorHAnsi"/>
          <w:color w:val="auto"/>
          <w:sz w:val="20"/>
          <w:szCs w:val="20"/>
        </w:rPr>
      </w:pPr>
      <w:r w:rsidRPr="00685A4E">
        <w:rPr>
          <w:rFonts w:eastAsia="Calibri" w:asciiTheme="minorHAnsi" w:hAnsiTheme="minorHAnsi" w:cstheme="minorHAnsi"/>
          <w:color w:val="auto"/>
          <w:sz w:val="20"/>
          <w:szCs w:val="20"/>
        </w:rPr>
        <w:t xml:space="preserve">Nuestro objetivo es realizar una evaluación genética completa en pacientes con enfermedad renal </w:t>
      </w:r>
      <w:r w:rsidRPr="00685A4E" w:rsidR="00115DFB">
        <w:rPr>
          <w:rFonts w:eastAsia="Calibri" w:asciiTheme="minorHAnsi" w:hAnsiTheme="minorHAnsi" w:cstheme="minorHAnsi"/>
          <w:color w:val="auto"/>
          <w:sz w:val="20"/>
          <w:szCs w:val="20"/>
        </w:rPr>
        <w:t>crónica</w:t>
      </w:r>
      <w:r w:rsidRPr="00685A4E">
        <w:rPr>
          <w:rFonts w:eastAsia="Calibri" w:asciiTheme="minorHAnsi" w:hAnsiTheme="minorHAnsi" w:cstheme="minorHAnsi"/>
          <w:color w:val="auto"/>
          <w:sz w:val="20"/>
          <w:szCs w:val="20"/>
        </w:rPr>
        <w:t xml:space="preserve"> de origen desconocido y evaluar su correlación con la información clínica e histológica y también con la historia familiar y la evolución.</w:t>
      </w:r>
    </w:p>
    <w:p w:rsidRPr="00685A4E" w:rsidR="00E263C8" w:rsidP="00685A4E" w:rsidRDefault="000844C1" w14:paraId="5401EC5F"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4</w:t>
      </w:r>
      <w:r w:rsidRPr="00685A4E" w:rsidR="00E263C8">
        <w:rPr>
          <w:rFonts w:asciiTheme="minorHAnsi" w:hAnsiTheme="minorHAnsi" w:cstheme="minorHAnsi"/>
          <w:b/>
          <w:bCs/>
          <w:color w:val="auto"/>
          <w:sz w:val="20"/>
          <w:szCs w:val="20"/>
        </w:rPr>
        <w:tab/>
      </w:r>
      <w:proofErr w:type="gramStart"/>
      <w:r w:rsidRPr="00685A4E" w:rsidR="00E263C8">
        <w:rPr>
          <w:rFonts w:asciiTheme="minorHAnsi" w:hAnsiTheme="minorHAnsi" w:cstheme="minorHAnsi"/>
          <w:b/>
          <w:bCs/>
          <w:color w:val="auto"/>
          <w:sz w:val="20"/>
          <w:szCs w:val="20"/>
        </w:rPr>
        <w:t>Objetivo</w:t>
      </w:r>
      <w:proofErr w:type="gramEnd"/>
      <w:r w:rsidRPr="00685A4E" w:rsidR="00E263C8">
        <w:rPr>
          <w:rFonts w:asciiTheme="minorHAnsi" w:hAnsiTheme="minorHAnsi" w:cstheme="minorHAnsi"/>
          <w:b/>
          <w:bCs/>
          <w:color w:val="auto"/>
          <w:sz w:val="20"/>
          <w:szCs w:val="20"/>
        </w:rPr>
        <w:t xml:space="preserve"> y Finalidad del Estudio</w:t>
      </w:r>
      <w:r w:rsidRPr="00685A4E" w:rsidR="00201B51">
        <w:rPr>
          <w:rFonts w:asciiTheme="minorHAnsi" w:hAnsiTheme="minorHAnsi" w:cstheme="minorHAnsi"/>
          <w:b/>
          <w:bCs/>
          <w:color w:val="auto"/>
          <w:sz w:val="20"/>
          <w:szCs w:val="20"/>
        </w:rPr>
        <w:t>:</w:t>
      </w:r>
    </w:p>
    <w:p w:rsidRPr="00685A4E" w:rsidR="00BC636D" w:rsidP="00685A4E" w:rsidRDefault="000B3F59" w14:paraId="68D5DF16" w14:textId="5654D3E1">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El objetivo principal de esta propuesta es realizar un estudio genético completo de pacientes -de nuestro medio- con enfermedad renal crónica sin causa clara, con el fin de aumentar el número de pacientes con diagnóstico etiológico </w:t>
      </w:r>
      <w:proofErr w:type="gramStart"/>
      <w:r w:rsidRPr="00685A4E">
        <w:rPr>
          <w:rFonts w:eastAsia="Calibri" w:asciiTheme="minorHAnsi" w:hAnsiTheme="minorHAnsi" w:cstheme="minorHAnsi"/>
          <w:color w:val="2E2929"/>
          <w:sz w:val="20"/>
          <w:lang w:val="es-ES"/>
        </w:rPr>
        <w:t>y</w:t>
      </w:r>
      <w:proofErr w:type="gramEnd"/>
      <w:r w:rsidRPr="00685A4E">
        <w:rPr>
          <w:rFonts w:eastAsia="Calibri" w:asciiTheme="minorHAnsi" w:hAnsiTheme="minorHAnsi" w:cstheme="minorHAnsi"/>
          <w:color w:val="2E2929"/>
          <w:sz w:val="20"/>
          <w:lang w:val="es-ES"/>
        </w:rPr>
        <w:t xml:space="preserve"> por tanto, un mayor conocimiento. de su pronóstico personal y familiar, además de ofrecer un manejo individualizado.</w:t>
      </w:r>
    </w:p>
    <w:p w:rsidRPr="00685A4E" w:rsidR="006D4CE0" w:rsidP="00685A4E" w:rsidRDefault="006D4CE0" w14:paraId="6FDC4261" w14:textId="77777777">
      <w:pPr>
        <w:autoSpaceDE w:val="0"/>
        <w:autoSpaceDN w:val="0"/>
        <w:adjustRightInd w:val="0"/>
        <w:jc w:val="both"/>
        <w:rPr>
          <w:rFonts w:eastAsia="Calibri" w:asciiTheme="minorHAnsi" w:hAnsiTheme="minorHAnsi" w:cstheme="minorHAnsi"/>
          <w:b/>
          <w:bCs/>
          <w:color w:val="2E2929"/>
          <w:sz w:val="20"/>
          <w:lang w:val="es-ES"/>
        </w:rPr>
      </w:pPr>
    </w:p>
    <w:p w:rsidRPr="00685A4E" w:rsidR="00AD78CE" w:rsidP="00685A4E" w:rsidRDefault="00AD78CE" w14:paraId="6FEB78F3" w14:textId="77777777">
      <w:pPr>
        <w:autoSpaceDE w:val="0"/>
        <w:autoSpaceDN w:val="0"/>
        <w:adjustRightInd w:val="0"/>
        <w:jc w:val="both"/>
        <w:rPr>
          <w:rFonts w:eastAsia="Calibri" w:asciiTheme="minorHAnsi" w:hAnsiTheme="minorHAnsi" w:cstheme="minorHAnsi"/>
          <w:b/>
          <w:bCs/>
          <w:color w:val="2E2929"/>
          <w:sz w:val="20"/>
          <w:lang w:val="es-ES"/>
        </w:rPr>
      </w:pPr>
    </w:p>
    <w:p w:rsidRPr="00685A4E" w:rsidR="000B3F59" w:rsidP="00685A4E" w:rsidRDefault="000B3F59" w14:paraId="378BE9E7"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bCs/>
          <w:color w:val="2E2929"/>
          <w:sz w:val="20"/>
          <w:lang w:val="es-ES"/>
        </w:rPr>
        <w:t>Objetivos específicos:</w:t>
      </w:r>
    </w:p>
    <w:p w:rsidRPr="00685A4E" w:rsidR="006D4CE0" w:rsidP="00685A4E" w:rsidRDefault="006D4CE0" w14:paraId="0D9924DA" w14:textId="77777777">
      <w:pPr>
        <w:autoSpaceDE w:val="0"/>
        <w:autoSpaceDN w:val="0"/>
        <w:adjustRightInd w:val="0"/>
        <w:jc w:val="both"/>
        <w:rPr>
          <w:rFonts w:eastAsia="Calibri" w:asciiTheme="minorHAnsi" w:hAnsiTheme="minorHAnsi" w:cstheme="minorHAnsi"/>
          <w:color w:val="2E2929"/>
          <w:sz w:val="20"/>
          <w:lang w:val="es-ES"/>
        </w:rPr>
      </w:pPr>
    </w:p>
    <w:p w:rsidRPr="00685A4E" w:rsidR="000B3F59" w:rsidP="00685A4E" w:rsidRDefault="000B3F59" w14:paraId="4727822E"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1. Analizar mediante tecnología de secuenciación de próxima generación (NGS) la presencia de variantes patogénicas aplicando un panel de 529 genes responsables de enfermedades renales hereditarias.</w:t>
      </w:r>
    </w:p>
    <w:p w:rsidRPr="00685A4E" w:rsidR="000B3F59" w:rsidP="00685A4E" w:rsidRDefault="000B3F59" w14:paraId="51BA0763" w14:textId="77777777">
      <w:pPr>
        <w:autoSpaceDE w:val="0"/>
        <w:autoSpaceDN w:val="0"/>
        <w:adjustRightInd w:val="0"/>
        <w:jc w:val="both"/>
        <w:rPr>
          <w:rFonts w:eastAsia="Calibri" w:asciiTheme="minorHAnsi" w:hAnsiTheme="minorHAnsi" w:cstheme="minorHAnsi"/>
          <w:color w:val="2E2929"/>
          <w:sz w:val="20"/>
          <w:lang w:val="es-ES"/>
        </w:rPr>
      </w:pPr>
    </w:p>
    <w:p w:rsidRPr="00685A4E" w:rsidR="000B3F59" w:rsidP="00685A4E" w:rsidRDefault="000B3F59" w14:paraId="68BA3149"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2. Aplicar diferentes tecnologías que permitan el diagnóstico de enfermedades hereditarias con cambios en regiones </w:t>
      </w:r>
      <w:proofErr w:type="spellStart"/>
      <w:r w:rsidRPr="00685A4E">
        <w:rPr>
          <w:rFonts w:eastAsia="Calibri" w:asciiTheme="minorHAnsi" w:hAnsiTheme="minorHAnsi" w:cstheme="minorHAnsi"/>
          <w:color w:val="2E2929"/>
          <w:sz w:val="20"/>
          <w:lang w:val="es-ES"/>
        </w:rPr>
        <w:t>intrónicas</w:t>
      </w:r>
      <w:proofErr w:type="spellEnd"/>
      <w:r w:rsidRPr="00685A4E">
        <w:rPr>
          <w:rFonts w:eastAsia="Calibri" w:asciiTheme="minorHAnsi" w:hAnsiTheme="minorHAnsi" w:cstheme="minorHAnsi"/>
          <w:color w:val="2E2929"/>
          <w:sz w:val="20"/>
          <w:lang w:val="es-ES"/>
        </w:rPr>
        <w:t>, especialmente en presentaciones clínicas que así lo sugieran (Ejemplo: MUC1).</w:t>
      </w:r>
    </w:p>
    <w:p w:rsidRPr="00685A4E" w:rsidR="000B3F59" w:rsidP="00685A4E" w:rsidRDefault="000B3F59" w14:paraId="4A01B2EF" w14:textId="77777777">
      <w:pPr>
        <w:autoSpaceDE w:val="0"/>
        <w:autoSpaceDN w:val="0"/>
        <w:adjustRightInd w:val="0"/>
        <w:jc w:val="both"/>
        <w:rPr>
          <w:rFonts w:eastAsia="Calibri" w:asciiTheme="minorHAnsi" w:hAnsiTheme="minorHAnsi" w:cstheme="minorHAnsi"/>
          <w:color w:val="2E2929"/>
          <w:sz w:val="20"/>
          <w:lang w:val="es-ES"/>
        </w:rPr>
      </w:pPr>
    </w:p>
    <w:p w:rsidRPr="00685A4E" w:rsidR="000B3F59" w:rsidP="00685A4E" w:rsidRDefault="000B3F59" w14:paraId="3E3A4681"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3. Confirmación de variantes mediante técnicas como Sanger, MLPA o </w:t>
      </w:r>
      <w:proofErr w:type="spellStart"/>
      <w:r w:rsidRPr="00685A4E">
        <w:rPr>
          <w:rFonts w:eastAsia="Calibri" w:asciiTheme="minorHAnsi" w:hAnsiTheme="minorHAnsi" w:cstheme="minorHAnsi"/>
          <w:color w:val="2E2929"/>
          <w:sz w:val="20"/>
          <w:lang w:val="es-ES"/>
        </w:rPr>
        <w:t>qPCR</w:t>
      </w:r>
      <w:proofErr w:type="spellEnd"/>
      <w:r w:rsidRPr="00685A4E">
        <w:rPr>
          <w:rFonts w:eastAsia="Calibri" w:asciiTheme="minorHAnsi" w:hAnsiTheme="minorHAnsi" w:cstheme="minorHAnsi"/>
          <w:color w:val="2E2929"/>
          <w:sz w:val="20"/>
          <w:lang w:val="es-ES"/>
        </w:rPr>
        <w:t>.</w:t>
      </w:r>
    </w:p>
    <w:p w:rsidRPr="00685A4E" w:rsidR="000B3F59" w:rsidP="00685A4E" w:rsidRDefault="000B3F59" w14:paraId="5CAF87DF" w14:textId="77777777">
      <w:pPr>
        <w:autoSpaceDE w:val="0"/>
        <w:autoSpaceDN w:val="0"/>
        <w:adjustRightInd w:val="0"/>
        <w:jc w:val="both"/>
        <w:rPr>
          <w:rFonts w:eastAsia="Calibri" w:asciiTheme="minorHAnsi" w:hAnsiTheme="minorHAnsi" w:cstheme="minorHAnsi"/>
          <w:color w:val="2E2929"/>
          <w:sz w:val="20"/>
          <w:lang w:val="es-ES"/>
        </w:rPr>
      </w:pPr>
    </w:p>
    <w:p w:rsidRPr="00685A4E" w:rsidR="000B3F59" w:rsidP="00685A4E" w:rsidRDefault="000B3F59" w14:paraId="54FC5B04"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4. Correlacionar las variantes patogénicas identificadas con la historia familiar y personal (inicio de la enfermedad, presentación clínica, datos histológicos, evolución, </w:t>
      </w:r>
      <w:proofErr w:type="spellStart"/>
      <w:r w:rsidRPr="00685A4E">
        <w:rPr>
          <w:rFonts w:eastAsia="Calibri" w:asciiTheme="minorHAnsi" w:hAnsiTheme="minorHAnsi" w:cstheme="minorHAnsi"/>
          <w:color w:val="2E2929"/>
          <w:sz w:val="20"/>
          <w:lang w:val="es-ES"/>
        </w:rPr>
        <w:t>etc</w:t>
      </w:r>
      <w:proofErr w:type="spellEnd"/>
      <w:r w:rsidRPr="00685A4E">
        <w:rPr>
          <w:rFonts w:eastAsia="Calibri" w:asciiTheme="minorHAnsi" w:hAnsiTheme="minorHAnsi" w:cstheme="minorHAnsi"/>
          <w:color w:val="2E2929"/>
          <w:sz w:val="20"/>
          <w:lang w:val="es-ES"/>
        </w:rPr>
        <w:t>).</w:t>
      </w:r>
    </w:p>
    <w:p w:rsidRPr="00685A4E" w:rsidR="000B3F59" w:rsidP="00685A4E" w:rsidRDefault="000B3F59" w14:paraId="703C7C98" w14:textId="77777777">
      <w:pPr>
        <w:autoSpaceDE w:val="0"/>
        <w:autoSpaceDN w:val="0"/>
        <w:adjustRightInd w:val="0"/>
        <w:jc w:val="both"/>
        <w:rPr>
          <w:rFonts w:eastAsia="Calibri" w:asciiTheme="minorHAnsi" w:hAnsiTheme="minorHAnsi" w:cstheme="minorHAnsi"/>
          <w:color w:val="2E2929"/>
          <w:sz w:val="20"/>
          <w:lang w:val="es-ES"/>
        </w:rPr>
      </w:pPr>
    </w:p>
    <w:p w:rsidRPr="00685A4E" w:rsidR="006D4CE0" w:rsidP="00685A4E" w:rsidRDefault="000B3F59" w14:paraId="5B84D2BF"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5. Identificar las principales enfermedades hereditarias no diagnosticadas previamente en nuestro medio y analizar posibles asociaciones con los diferentes territorios.</w:t>
      </w:r>
    </w:p>
    <w:p w:rsidRPr="00685A4E" w:rsidR="004E2F02" w:rsidP="00685A4E" w:rsidRDefault="004E2F02" w14:paraId="1195C939" w14:textId="77777777">
      <w:pPr>
        <w:autoSpaceDE w:val="0"/>
        <w:autoSpaceDN w:val="0"/>
        <w:adjustRightInd w:val="0"/>
        <w:jc w:val="both"/>
        <w:rPr>
          <w:rFonts w:eastAsia="Calibri" w:asciiTheme="minorHAnsi" w:hAnsiTheme="minorHAnsi" w:cstheme="minorHAnsi"/>
          <w:color w:val="2E2929"/>
          <w:sz w:val="20"/>
          <w:lang w:val="es-ES"/>
        </w:rPr>
      </w:pPr>
    </w:p>
    <w:p w:rsidRPr="00685A4E" w:rsidR="008D62FF" w:rsidP="00685A4E" w:rsidRDefault="000844C1" w14:paraId="3A554F66" w14:textId="48A5332B">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u w:val="single"/>
          <w:lang w:val="es-ES"/>
        </w:rPr>
        <w:t>4.1</w:t>
      </w:r>
      <w:r w:rsidRPr="00685A4E" w:rsidR="0022779D">
        <w:rPr>
          <w:rFonts w:eastAsia="Calibri" w:asciiTheme="minorHAnsi" w:hAnsiTheme="minorHAnsi" w:cstheme="minorHAnsi"/>
          <w:color w:val="2E2929"/>
          <w:sz w:val="20"/>
          <w:u w:val="single"/>
          <w:lang w:val="es-ES"/>
        </w:rPr>
        <w:tab/>
      </w:r>
      <w:r w:rsidRPr="00685A4E" w:rsidR="0022779D">
        <w:rPr>
          <w:rFonts w:eastAsia="Calibri" w:asciiTheme="minorHAnsi" w:hAnsiTheme="minorHAnsi" w:cstheme="minorHAnsi"/>
          <w:color w:val="2E2929"/>
          <w:sz w:val="20"/>
          <w:u w:val="single"/>
          <w:lang w:val="es-ES"/>
        </w:rPr>
        <w:t>Variables</w:t>
      </w:r>
      <w:r w:rsidRPr="00685A4E" w:rsidR="008D62FF">
        <w:rPr>
          <w:rFonts w:eastAsia="Calibri" w:asciiTheme="minorHAnsi" w:hAnsiTheme="minorHAnsi" w:cstheme="minorHAnsi"/>
          <w:color w:val="2E2929"/>
          <w:sz w:val="20"/>
          <w:u w:val="single"/>
          <w:lang w:val="es-ES"/>
        </w:rPr>
        <w:t>:</w:t>
      </w:r>
      <w:r w:rsidRPr="00685A4E" w:rsidR="00115DFB">
        <w:rPr>
          <w:rFonts w:eastAsia="Calibri" w:asciiTheme="minorHAnsi" w:hAnsiTheme="minorHAnsi" w:cstheme="minorHAnsi"/>
          <w:color w:val="2E2929"/>
          <w:sz w:val="20"/>
          <w:u w:val="single"/>
          <w:lang w:val="es-ES"/>
        </w:rPr>
        <w:t xml:space="preserve"> </w:t>
      </w:r>
      <w:r w:rsidRPr="00685A4E" w:rsidR="00B479DA">
        <w:rPr>
          <w:rFonts w:eastAsia="Calibri" w:asciiTheme="minorHAnsi" w:hAnsiTheme="minorHAnsi" w:cstheme="minorHAnsi"/>
          <w:color w:val="2E2929"/>
          <w:sz w:val="20"/>
          <w:lang w:val="es-ES"/>
        </w:rPr>
        <w:t>Los datos se obtendrán de la historia clínica, la exploración física y la historia clínica. Luego, toda la información será revisada e introducida en una base de datos utilizando Microsoft Excel 365. Esta base de datos cumplirá con los estándares requeridos para una buena práctica clínica, con acceso restringido a los miembros del equipo de investigación del proyecto. Se recogerán variables clínicas, analíticas e histológicas tanto en la población de estudio como en sus familiares cuando se aplique:</w:t>
      </w:r>
    </w:p>
    <w:p w:rsidRPr="00685A4E" w:rsidR="00B479DA" w:rsidP="00685A4E" w:rsidRDefault="00B479DA" w14:paraId="75D3BEAA" w14:textId="77777777">
      <w:pPr>
        <w:autoSpaceDE w:val="0"/>
        <w:autoSpaceDN w:val="0"/>
        <w:adjustRightInd w:val="0"/>
        <w:jc w:val="both"/>
        <w:rPr>
          <w:rFonts w:eastAsia="Calibri" w:asciiTheme="minorHAnsi" w:hAnsiTheme="minorHAnsi" w:cstheme="minorHAnsi"/>
          <w:color w:val="2E2929"/>
          <w:sz w:val="20"/>
          <w:lang w:val="es-ES"/>
        </w:rPr>
      </w:pPr>
    </w:p>
    <w:p w:rsidRPr="00685A4E" w:rsidR="008D62FF" w:rsidP="00685A4E" w:rsidRDefault="00E21CD5" w14:paraId="57466BF4" w14:textId="77777777">
      <w:pPr>
        <w:autoSpaceDE w:val="0"/>
        <w:autoSpaceDN w:val="0"/>
        <w:adjustRightInd w:val="0"/>
        <w:jc w:val="both"/>
        <w:rPr>
          <w:rFonts w:asciiTheme="minorHAnsi" w:hAnsiTheme="minorHAnsi" w:cstheme="minorHAnsi"/>
          <w:color w:val="231F20"/>
          <w:sz w:val="20"/>
          <w:lang w:val="es-ES"/>
        </w:rPr>
      </w:pPr>
      <w:r w:rsidRPr="00685A4E">
        <w:rPr>
          <w:rFonts w:asciiTheme="minorHAnsi" w:hAnsiTheme="minorHAnsi" w:cstheme="minorHAnsi"/>
          <w:color w:val="231F20"/>
          <w:sz w:val="20"/>
          <w:lang w:val="es-ES"/>
        </w:rPr>
        <w:t xml:space="preserve">• </w:t>
      </w:r>
      <w:r w:rsidRPr="00685A4E" w:rsidR="00B479DA">
        <w:rPr>
          <w:rFonts w:asciiTheme="minorHAnsi" w:hAnsiTheme="minorHAnsi" w:cstheme="minorHAnsi"/>
          <w:b/>
          <w:bCs/>
          <w:color w:val="231F20"/>
          <w:sz w:val="20"/>
          <w:lang w:val="es-ES"/>
        </w:rPr>
        <w:t xml:space="preserve">Variables clínicas, analíticas e histológicas: </w:t>
      </w:r>
      <w:r w:rsidRPr="00685A4E" w:rsidR="00B479DA">
        <w:rPr>
          <w:rFonts w:asciiTheme="minorHAnsi" w:hAnsiTheme="minorHAnsi" w:cstheme="minorHAnsi"/>
          <w:color w:val="231F20"/>
          <w:sz w:val="20"/>
          <w:lang w:val="es-ES"/>
        </w:rPr>
        <w:t xml:space="preserve">(1) En el momento de la inclusión en el estudio en todos los pacientes: datos demográficos e historial médico relacionado con la enfermedad renal incluyendo: edad (fecha de nacimiento), sexo, raza, hipertensión, diabetes, obesidad, otras enfermedades concomitantes, medicamentos, inicio de la enfermedad (edad), </w:t>
      </w:r>
      <w:proofErr w:type="spellStart"/>
      <w:r w:rsidRPr="00685A4E" w:rsidR="00B479DA">
        <w:rPr>
          <w:rFonts w:asciiTheme="minorHAnsi" w:hAnsiTheme="minorHAnsi" w:cstheme="minorHAnsi"/>
          <w:color w:val="231F20"/>
          <w:sz w:val="20"/>
          <w:lang w:val="es-ES"/>
        </w:rPr>
        <w:t>FGe</w:t>
      </w:r>
      <w:proofErr w:type="spellEnd"/>
      <w:r w:rsidRPr="00685A4E" w:rsidR="00B479DA">
        <w:rPr>
          <w:rFonts w:asciiTheme="minorHAnsi" w:hAnsiTheme="minorHAnsi" w:cstheme="minorHAnsi"/>
          <w:color w:val="231F20"/>
          <w:sz w:val="20"/>
          <w:lang w:val="es-ES"/>
        </w:rPr>
        <w:t xml:space="preserve"> al diagnóstico, evolución de </w:t>
      </w:r>
      <w:proofErr w:type="spellStart"/>
      <w:r w:rsidRPr="00685A4E" w:rsidR="00B479DA">
        <w:rPr>
          <w:rFonts w:asciiTheme="minorHAnsi" w:hAnsiTheme="minorHAnsi" w:cstheme="minorHAnsi"/>
          <w:color w:val="231F20"/>
          <w:sz w:val="20"/>
          <w:lang w:val="es-ES"/>
        </w:rPr>
        <w:t>FGe</w:t>
      </w:r>
      <w:proofErr w:type="spellEnd"/>
      <w:r w:rsidRPr="00685A4E" w:rsidR="00B479DA">
        <w:rPr>
          <w:rFonts w:asciiTheme="minorHAnsi" w:hAnsiTheme="minorHAnsi" w:cstheme="minorHAnsi"/>
          <w:color w:val="231F20"/>
          <w:sz w:val="20"/>
          <w:lang w:val="es-ES"/>
        </w:rPr>
        <w:t>, proteinuria, albuminuria, sedimento urinario, ecografía renal, biopsia renal (si está disponible), afectación sistémica. (2) En pacientes con antecedentes familiares de enfermedad renal: se realizará un árbol genealógico completo de toda la familia, así como los datos relevantes de la presentación clínica y evolución de la enfermedad renal.</w:t>
      </w:r>
    </w:p>
    <w:p w:rsidRPr="00685A4E" w:rsidR="00B479DA" w:rsidP="00685A4E" w:rsidRDefault="00B479DA" w14:paraId="43A85492" w14:textId="77777777">
      <w:pPr>
        <w:autoSpaceDE w:val="0"/>
        <w:autoSpaceDN w:val="0"/>
        <w:adjustRightInd w:val="0"/>
        <w:jc w:val="both"/>
        <w:rPr>
          <w:rFonts w:asciiTheme="minorHAnsi" w:hAnsiTheme="minorHAnsi" w:cstheme="minorHAnsi"/>
          <w:color w:val="231F20"/>
          <w:sz w:val="20"/>
          <w:lang w:val="es-ES"/>
        </w:rPr>
      </w:pPr>
    </w:p>
    <w:p w:rsidRPr="00685A4E" w:rsidR="00B479DA" w:rsidP="00685A4E" w:rsidRDefault="00B479DA" w14:paraId="2BC13237" w14:textId="77777777">
      <w:pPr>
        <w:autoSpaceDE w:val="0"/>
        <w:autoSpaceDN w:val="0"/>
        <w:adjustRightInd w:val="0"/>
        <w:jc w:val="both"/>
        <w:rPr>
          <w:rFonts w:asciiTheme="minorHAnsi" w:hAnsiTheme="minorHAnsi" w:cstheme="minorHAnsi"/>
          <w:b/>
          <w:bCs/>
          <w:sz w:val="20"/>
          <w:lang w:val="es-ES"/>
        </w:rPr>
      </w:pPr>
    </w:p>
    <w:p w:rsidRPr="00685A4E" w:rsidR="00E263C8" w:rsidP="00685A4E" w:rsidRDefault="000844C1" w14:paraId="2DB04545"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5</w:t>
      </w:r>
      <w:r w:rsidRPr="00685A4E" w:rsidR="00E263C8">
        <w:rPr>
          <w:rFonts w:asciiTheme="minorHAnsi" w:hAnsiTheme="minorHAnsi" w:cstheme="minorHAnsi"/>
          <w:b/>
          <w:bCs/>
          <w:color w:val="auto"/>
          <w:sz w:val="20"/>
          <w:szCs w:val="20"/>
        </w:rPr>
        <w:tab/>
      </w:r>
      <w:proofErr w:type="gramStart"/>
      <w:r w:rsidRPr="00685A4E" w:rsidR="00E263C8">
        <w:rPr>
          <w:rFonts w:asciiTheme="minorHAnsi" w:hAnsiTheme="minorHAnsi" w:cstheme="minorHAnsi"/>
          <w:b/>
          <w:bCs/>
          <w:color w:val="auto"/>
          <w:sz w:val="20"/>
          <w:szCs w:val="20"/>
        </w:rPr>
        <w:t>Diseño</w:t>
      </w:r>
      <w:proofErr w:type="gramEnd"/>
      <w:r w:rsidRPr="00685A4E" w:rsidR="00E263C8">
        <w:rPr>
          <w:rFonts w:asciiTheme="minorHAnsi" w:hAnsiTheme="minorHAnsi" w:cstheme="minorHAnsi"/>
          <w:b/>
          <w:bCs/>
          <w:color w:val="auto"/>
          <w:sz w:val="20"/>
          <w:szCs w:val="20"/>
        </w:rPr>
        <w:t xml:space="preserve"> del Estudio</w:t>
      </w:r>
    </w:p>
    <w:p w:rsidRPr="00685A4E" w:rsidR="00B479DA" w:rsidP="00685A4E" w:rsidRDefault="00B479DA" w14:paraId="5E5E2103" w14:textId="3A955032">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bCs/>
          <w:color w:val="2E2929"/>
          <w:sz w:val="20"/>
          <w:u w:val="single"/>
          <w:lang w:val="es-ES"/>
        </w:rPr>
        <w:t>Diseño del estudio</w:t>
      </w:r>
      <w:r w:rsidRPr="00685A4E" w:rsidR="00285A09">
        <w:rPr>
          <w:rFonts w:eastAsia="Calibri" w:asciiTheme="minorHAnsi" w:hAnsiTheme="minorHAnsi" w:cstheme="minorHAnsi"/>
          <w:color w:val="2E2929"/>
          <w:sz w:val="20"/>
          <w:lang w:val="es-ES"/>
        </w:rPr>
        <w:t xml:space="preserve">: </w:t>
      </w:r>
      <w:r w:rsidRPr="00685A4E">
        <w:rPr>
          <w:rFonts w:eastAsia="Calibri" w:asciiTheme="minorHAnsi" w:hAnsiTheme="minorHAnsi" w:cstheme="minorHAnsi"/>
          <w:color w:val="2E2929"/>
          <w:sz w:val="20"/>
          <w:lang w:val="es-ES"/>
        </w:rPr>
        <w:t xml:space="preserve">Estudio de cohortes multicéntrico para evaluar la utilidad diagnóstica de la secuenciación del exoma en pacientes con enfermedad renal crónica </w:t>
      </w:r>
      <w:r w:rsidRPr="00685A4E" w:rsidR="00115DFB">
        <w:rPr>
          <w:rFonts w:eastAsia="Calibri" w:asciiTheme="minorHAnsi" w:hAnsiTheme="minorHAnsi" w:cstheme="minorHAnsi"/>
          <w:color w:val="2E2929"/>
          <w:sz w:val="20"/>
          <w:lang w:val="es-ES"/>
        </w:rPr>
        <w:t xml:space="preserve">(ERC) </w:t>
      </w:r>
      <w:r w:rsidRPr="00685A4E">
        <w:rPr>
          <w:rFonts w:eastAsia="Calibri" w:asciiTheme="minorHAnsi" w:hAnsiTheme="minorHAnsi" w:cstheme="minorHAnsi"/>
          <w:color w:val="2E2929"/>
          <w:sz w:val="20"/>
          <w:lang w:val="es-ES"/>
        </w:rPr>
        <w:t xml:space="preserve">de causa no identificada en </w:t>
      </w:r>
      <w:r w:rsidRPr="00685A4E" w:rsidR="00115DFB">
        <w:rPr>
          <w:rFonts w:eastAsia="Calibri" w:asciiTheme="minorHAnsi" w:hAnsiTheme="minorHAnsi" w:cstheme="minorHAnsi"/>
          <w:color w:val="2E2929"/>
          <w:sz w:val="20"/>
          <w:lang w:val="es-ES"/>
        </w:rPr>
        <w:t>Madrid</w:t>
      </w:r>
      <w:r w:rsidRPr="00685A4E">
        <w:rPr>
          <w:rFonts w:eastAsia="Calibri" w:asciiTheme="minorHAnsi" w:hAnsiTheme="minorHAnsi" w:cstheme="minorHAnsi"/>
          <w:color w:val="2E2929"/>
          <w:sz w:val="20"/>
          <w:lang w:val="es-ES"/>
        </w:rPr>
        <w:t>.</w:t>
      </w:r>
    </w:p>
    <w:p w:rsidRPr="00685A4E" w:rsidR="00B479DA" w:rsidP="00685A4E" w:rsidRDefault="00B479DA" w14:paraId="5C254BBA" w14:textId="77777777">
      <w:pPr>
        <w:autoSpaceDE w:val="0"/>
        <w:autoSpaceDN w:val="0"/>
        <w:adjustRightInd w:val="0"/>
        <w:jc w:val="both"/>
        <w:rPr>
          <w:rFonts w:eastAsia="Calibri" w:asciiTheme="minorHAnsi" w:hAnsiTheme="minorHAnsi" w:cstheme="minorHAnsi"/>
          <w:color w:val="2E2929"/>
          <w:sz w:val="20"/>
          <w:lang w:val="es-ES"/>
        </w:rPr>
      </w:pPr>
    </w:p>
    <w:p w:rsidRPr="00685A4E" w:rsidR="00285A09" w:rsidP="7EE3D00F" w:rsidRDefault="00B479DA" w14:paraId="1DD6FE08" w14:textId="03EEA639">
      <w:pPr>
        <w:pStyle w:val="Normal"/>
        <w:suppressLineNumbers w:val="0"/>
        <w:spacing w:before="0" w:beforeAutospacing="off" w:after="0" w:afterAutospacing="off" w:line="259" w:lineRule="auto"/>
        <w:ind w:left="0" w:right="0"/>
        <w:jc w:val="both"/>
        <w:rPr>
          <w:rFonts w:ascii="Calibri" w:hAnsi="Calibri" w:eastAsia="Calibri" w:cs="Calibri" w:asciiTheme="minorAscii" w:hAnsiTheme="minorAscii" w:cstheme="minorAscii"/>
          <w:color w:val="2E2929"/>
          <w:sz w:val="20"/>
          <w:szCs w:val="20"/>
          <w:lang w:val="es-ES"/>
        </w:rPr>
      </w:pPr>
      <w:r w:rsidRPr="7EE3D00F" w:rsidR="00B479DA">
        <w:rPr>
          <w:rFonts w:ascii="Calibri" w:hAnsi="Calibri" w:eastAsia="Calibri" w:cs="Calibri" w:asciiTheme="minorAscii" w:hAnsiTheme="minorAscii" w:cstheme="minorAscii"/>
          <w:color w:val="2E2929"/>
          <w:sz w:val="20"/>
          <w:szCs w:val="20"/>
          <w:lang w:val="es-ES"/>
        </w:rPr>
        <w:t xml:space="preserve">La </w:t>
      </w:r>
      <w:r w:rsidRPr="7EE3D00F" w:rsidR="00B479DA">
        <w:rPr>
          <w:rFonts w:ascii="Calibri" w:hAnsi="Calibri" w:eastAsia="Calibri" w:cs="Calibri" w:asciiTheme="minorAscii" w:hAnsiTheme="minorAscii" w:cstheme="minorAscii"/>
          <w:b w:val="1"/>
          <w:bCs w:val="1"/>
          <w:color w:val="2E2929"/>
          <w:sz w:val="20"/>
          <w:szCs w:val="20"/>
          <w:lang w:val="es-ES"/>
        </w:rPr>
        <w:t>población de estudio</w:t>
      </w:r>
      <w:r w:rsidRPr="7EE3D00F" w:rsidR="00B479DA">
        <w:rPr>
          <w:rFonts w:ascii="Calibri" w:hAnsi="Calibri" w:eastAsia="Calibri" w:cs="Calibri" w:asciiTheme="minorAscii" w:hAnsiTheme="minorAscii" w:cstheme="minorAscii"/>
          <w:color w:val="2E2929"/>
          <w:sz w:val="20"/>
          <w:szCs w:val="20"/>
          <w:lang w:val="es-ES"/>
        </w:rPr>
        <w:t xml:space="preserve"> serán los pacientes diagnosticados de ERC antes de los 45 años. Se incluirán pacientes con una tasa de filtración glomerular estimada (</w:t>
      </w:r>
      <w:r w:rsidRPr="7EE3D00F" w:rsidR="00B479DA">
        <w:rPr>
          <w:rFonts w:ascii="Calibri" w:hAnsi="Calibri" w:eastAsia="Calibri" w:cs="Calibri" w:asciiTheme="minorAscii" w:hAnsiTheme="minorAscii" w:cstheme="minorAscii"/>
          <w:color w:val="2E2929"/>
          <w:sz w:val="20"/>
          <w:szCs w:val="20"/>
          <w:lang w:val="es-ES"/>
        </w:rPr>
        <w:t>FGe</w:t>
      </w:r>
      <w:r w:rsidRPr="7EE3D00F" w:rsidR="00B479DA">
        <w:rPr>
          <w:rFonts w:ascii="Calibri" w:hAnsi="Calibri" w:eastAsia="Calibri" w:cs="Calibri" w:asciiTheme="minorAscii" w:hAnsiTheme="minorAscii" w:cstheme="minorAscii"/>
          <w:color w:val="2E2929"/>
          <w:sz w:val="20"/>
          <w:szCs w:val="20"/>
          <w:lang w:val="es-ES"/>
        </w:rPr>
        <w:t xml:space="preserve">) inferior a </w:t>
      </w:r>
      <w:r w:rsidRPr="7EE3D00F" w:rsidR="00115DFB">
        <w:rPr>
          <w:rFonts w:ascii="Calibri" w:hAnsi="Calibri" w:eastAsia="Calibri" w:cs="Calibri" w:asciiTheme="minorAscii" w:hAnsiTheme="minorAscii" w:cstheme="minorAscii"/>
          <w:color w:val="2E2929"/>
          <w:sz w:val="20"/>
          <w:szCs w:val="20"/>
          <w:lang w:val="es-ES"/>
        </w:rPr>
        <w:t>60</w:t>
      </w:r>
      <w:r w:rsidRPr="7EE3D00F" w:rsidR="00B479DA">
        <w:rPr>
          <w:rFonts w:ascii="Calibri" w:hAnsi="Calibri" w:eastAsia="Calibri" w:cs="Calibri" w:asciiTheme="minorAscii" w:hAnsiTheme="minorAscii" w:cstheme="minorAscii"/>
          <w:color w:val="2E2929"/>
          <w:sz w:val="20"/>
          <w:szCs w:val="20"/>
          <w:lang w:val="es-ES"/>
        </w:rPr>
        <w:t xml:space="preserve"> ml/min y/o </w:t>
      </w:r>
      <w:r w:rsidRPr="7EE3D00F" w:rsidR="00115DFB">
        <w:rPr>
          <w:rFonts w:ascii="Calibri" w:hAnsi="Calibri" w:eastAsia="Calibri" w:cs="Calibri" w:asciiTheme="minorAscii" w:hAnsiTheme="minorAscii" w:cstheme="minorAscii"/>
          <w:color w:val="2E2929"/>
          <w:sz w:val="20"/>
          <w:szCs w:val="20"/>
          <w:lang w:val="es-ES"/>
        </w:rPr>
        <w:t>albuminuria &gt; 30 mg/g y/</w:t>
      </w:r>
      <w:r w:rsidRPr="7EE3D00F" w:rsidR="00115DFB">
        <w:rPr>
          <w:rFonts w:ascii="Calibri" w:hAnsi="Calibri" w:eastAsia="Calibri" w:cs="Calibri" w:asciiTheme="minorAscii" w:hAnsiTheme="minorAscii" w:cstheme="minorAscii"/>
          <w:color w:val="2E2929"/>
          <w:sz w:val="20"/>
          <w:szCs w:val="20"/>
          <w:lang w:val="es-ES"/>
        </w:rPr>
        <w:t>o</w:t>
      </w:r>
      <w:r w:rsidRPr="7EE3D00F" w:rsidR="00115DFB">
        <w:rPr>
          <w:rFonts w:ascii="Calibri" w:hAnsi="Calibri" w:eastAsia="Calibri" w:cs="Calibri" w:asciiTheme="minorAscii" w:hAnsiTheme="minorAscii" w:cstheme="minorAscii"/>
          <w:color w:val="2E2929"/>
          <w:sz w:val="20"/>
          <w:szCs w:val="20"/>
          <w:lang w:val="es-ES"/>
        </w:rPr>
        <w:t xml:space="preserve"> otra evidencia diagnóstica de ERC según criterios KDIGO (alteración de imagen renal, de histología renal, del sedimento urinario o alteración analítica que sugiera tubulopatía)</w:t>
      </w:r>
      <w:r w:rsidRPr="7EE3D00F" w:rsidR="00B479DA">
        <w:rPr>
          <w:rFonts w:ascii="Calibri" w:hAnsi="Calibri" w:eastAsia="Calibri" w:cs="Calibri" w:asciiTheme="minorAscii" w:hAnsiTheme="minorAscii" w:cstheme="minorAscii"/>
          <w:color w:val="2E2929"/>
          <w:sz w:val="20"/>
          <w:szCs w:val="20"/>
          <w:lang w:val="es-ES"/>
        </w:rPr>
        <w:t xml:space="preserve">. Se estima incluir un </w:t>
      </w:r>
      <w:r w:rsidRPr="7EE3D00F" w:rsidR="00A96D1A">
        <w:rPr>
          <w:rFonts w:ascii="Calibri" w:hAnsi="Calibri" w:eastAsia="Calibri" w:cs="Calibri" w:asciiTheme="minorAscii" w:hAnsiTheme="minorAscii" w:cstheme="minorAscii"/>
          <w:color w:val="2E2929"/>
          <w:sz w:val="20"/>
          <w:szCs w:val="20"/>
          <w:lang w:val="es-ES"/>
        </w:rPr>
        <w:t>máximo</w:t>
      </w:r>
      <w:r w:rsidRPr="7EE3D00F" w:rsidR="00115DFB">
        <w:rPr>
          <w:rFonts w:ascii="Calibri" w:hAnsi="Calibri" w:eastAsia="Calibri" w:cs="Calibri" w:asciiTheme="minorAscii" w:hAnsiTheme="minorAscii" w:cstheme="minorAscii"/>
          <w:color w:val="2E2929"/>
          <w:sz w:val="20"/>
          <w:szCs w:val="20"/>
          <w:lang w:val="es-ES"/>
        </w:rPr>
        <w:t xml:space="preserve"> </w:t>
      </w:r>
      <w:r w:rsidRPr="7EE3D00F" w:rsidR="00B479DA">
        <w:rPr>
          <w:rFonts w:ascii="Calibri" w:hAnsi="Calibri" w:eastAsia="Calibri" w:cs="Calibri" w:asciiTheme="minorAscii" w:hAnsiTheme="minorAscii" w:cstheme="minorAscii"/>
          <w:color w:val="2E2929"/>
          <w:sz w:val="20"/>
          <w:szCs w:val="20"/>
          <w:lang w:val="es-ES"/>
        </w:rPr>
        <w:t xml:space="preserve">de </w:t>
      </w:r>
      <w:r w:rsidRPr="7EE3D00F" w:rsidR="7DFE753E">
        <w:rPr>
          <w:rFonts w:ascii="Calibri" w:hAnsi="Calibri" w:eastAsia="Calibri" w:cs="Calibri" w:asciiTheme="minorAscii" w:hAnsiTheme="minorAscii" w:cstheme="minorAscii"/>
          <w:color w:val="2E2929"/>
          <w:sz w:val="20"/>
          <w:szCs w:val="20"/>
          <w:lang w:val="es-ES"/>
        </w:rPr>
        <w:t>58</w:t>
      </w:r>
      <w:r w:rsidRPr="7EE3D00F" w:rsidR="00B479DA">
        <w:rPr>
          <w:rFonts w:ascii="Calibri" w:hAnsi="Calibri" w:eastAsia="Calibri" w:cs="Calibri" w:asciiTheme="minorAscii" w:hAnsiTheme="minorAscii" w:cstheme="minorAscii"/>
          <w:color w:val="2E2929"/>
          <w:sz w:val="20"/>
          <w:szCs w:val="20"/>
          <w:lang w:val="es-ES"/>
        </w:rPr>
        <w:t xml:space="preserve"> pacientes en un periodo de </w:t>
      </w:r>
      <w:r w:rsidRPr="7EE3D00F" w:rsidR="29F4F75D">
        <w:rPr>
          <w:rFonts w:ascii="Calibri" w:hAnsi="Calibri" w:eastAsia="Calibri" w:cs="Calibri" w:asciiTheme="minorAscii" w:hAnsiTheme="minorAscii" w:cstheme="minorAscii"/>
          <w:color w:val="2E2929"/>
          <w:sz w:val="20"/>
          <w:szCs w:val="20"/>
          <w:lang w:val="es-ES"/>
        </w:rPr>
        <w:t>12</w:t>
      </w:r>
      <w:r w:rsidRPr="7EE3D00F" w:rsidR="00115DFB">
        <w:rPr>
          <w:rFonts w:ascii="Calibri" w:hAnsi="Calibri" w:eastAsia="Calibri" w:cs="Calibri" w:asciiTheme="minorAscii" w:hAnsiTheme="minorAscii" w:cstheme="minorAscii"/>
          <w:color w:val="2E2929"/>
          <w:sz w:val="20"/>
          <w:szCs w:val="20"/>
          <w:lang w:val="es-ES"/>
        </w:rPr>
        <w:t xml:space="preserve"> </w:t>
      </w:r>
      <w:r w:rsidRPr="7EE3D00F" w:rsidR="00B479DA">
        <w:rPr>
          <w:rFonts w:ascii="Calibri" w:hAnsi="Calibri" w:eastAsia="Calibri" w:cs="Calibri" w:asciiTheme="minorAscii" w:hAnsiTheme="minorAscii" w:cstheme="minorAscii"/>
          <w:color w:val="2E2929"/>
          <w:sz w:val="20"/>
          <w:szCs w:val="20"/>
          <w:lang w:val="es-ES"/>
        </w:rPr>
        <w:t>meses.</w:t>
      </w:r>
      <w:r w:rsidRPr="7EE3D00F" w:rsidR="00115DFB">
        <w:rPr>
          <w:rFonts w:ascii="Calibri" w:hAnsi="Calibri" w:eastAsia="Calibri" w:cs="Calibri" w:asciiTheme="minorAscii" w:hAnsiTheme="minorAscii" w:cstheme="minorAscii"/>
          <w:color w:val="2E2929"/>
          <w:sz w:val="20"/>
          <w:szCs w:val="20"/>
          <w:lang w:val="es-ES"/>
        </w:rPr>
        <w:t xml:space="preserve"> </w:t>
      </w:r>
      <w:r w:rsidRPr="7EE3D00F" w:rsidR="00585EDA">
        <w:rPr>
          <w:rFonts w:ascii="Calibri" w:hAnsi="Calibri" w:eastAsia="Calibri" w:cs="Calibri" w:asciiTheme="minorAscii" w:hAnsiTheme="minorAscii" w:cstheme="minorAscii"/>
          <w:color w:val="2E2929"/>
          <w:sz w:val="20"/>
          <w:szCs w:val="20"/>
          <w:lang w:val="es-ES"/>
        </w:rPr>
        <w:t xml:space="preserve">La inclusión inicial correrá a cargo de los 4 centros que se presentan como investigadores principales, no obstante, </w:t>
      </w:r>
      <w:r w:rsidRPr="7EE3D00F" w:rsidR="00BB60F9">
        <w:rPr>
          <w:rFonts w:ascii="Calibri" w:hAnsi="Calibri" w:eastAsia="Calibri" w:cs="Calibri" w:asciiTheme="minorAscii" w:hAnsiTheme="minorAscii" w:cstheme="minorAscii"/>
          <w:color w:val="2E2929"/>
          <w:sz w:val="20"/>
          <w:szCs w:val="20"/>
          <w:lang w:val="es-ES"/>
        </w:rPr>
        <w:t>a medida que se recauden fondos para el estudio, se adecuarán nuevos centros de la S</w:t>
      </w:r>
      <w:r w:rsidRPr="7EE3D00F" w:rsidR="00685A4E">
        <w:rPr>
          <w:rFonts w:ascii="Calibri" w:hAnsi="Calibri" w:eastAsia="Calibri" w:cs="Calibri" w:asciiTheme="minorAscii" w:hAnsiTheme="minorAscii" w:cstheme="minorAscii"/>
          <w:color w:val="2E2929"/>
          <w:sz w:val="20"/>
          <w:szCs w:val="20"/>
          <w:lang w:val="es-ES"/>
        </w:rPr>
        <w:t>OMANE</w:t>
      </w:r>
      <w:r w:rsidRPr="7EE3D00F" w:rsidR="00BB60F9">
        <w:rPr>
          <w:rFonts w:ascii="Calibri" w:hAnsi="Calibri" w:eastAsia="Calibri" w:cs="Calibri" w:asciiTheme="minorAscii" w:hAnsiTheme="minorAscii" w:cstheme="minorAscii"/>
          <w:color w:val="2E2929"/>
          <w:sz w:val="20"/>
          <w:szCs w:val="20"/>
          <w:lang w:val="es-ES"/>
        </w:rPr>
        <w:t xml:space="preserve"> para su participación (</w:t>
      </w:r>
      <w:r w:rsidRPr="7EE3D00F" w:rsidR="001D014A">
        <w:rPr>
          <w:rFonts w:ascii="Calibri" w:hAnsi="Calibri" w:eastAsia="Calibri" w:cs="Calibri" w:asciiTheme="minorAscii" w:hAnsiTheme="minorAscii" w:cstheme="minorAscii"/>
          <w:color w:val="2E2929"/>
          <w:sz w:val="20"/>
          <w:szCs w:val="20"/>
          <w:lang w:val="es-ES"/>
        </w:rPr>
        <w:t xml:space="preserve">hasta la fecha han manifestado su intención de participar </w:t>
      </w:r>
      <w:r w:rsidRPr="7EE3D00F" w:rsidR="00685A4E">
        <w:rPr>
          <w:rFonts w:ascii="Calibri" w:hAnsi="Calibri" w:eastAsia="Calibri" w:cs="Calibri" w:asciiTheme="minorAscii" w:hAnsiTheme="minorAscii" w:cstheme="minorAscii"/>
          <w:color w:val="2E2929"/>
          <w:sz w:val="20"/>
          <w:szCs w:val="20"/>
          <w:lang w:val="es-ES"/>
        </w:rPr>
        <w:t>todos los</w:t>
      </w:r>
      <w:r w:rsidRPr="7EE3D00F" w:rsidR="001D014A">
        <w:rPr>
          <w:rFonts w:ascii="Calibri" w:hAnsi="Calibri" w:eastAsia="Calibri" w:cs="Calibri" w:asciiTheme="minorAscii" w:hAnsiTheme="minorAscii" w:cstheme="minorAscii"/>
          <w:color w:val="2E2929"/>
          <w:sz w:val="20"/>
          <w:szCs w:val="20"/>
          <w:lang w:val="es-ES"/>
        </w:rPr>
        <w:t xml:space="preserve"> centros </w:t>
      </w:r>
      <w:r w:rsidRPr="7EE3D00F" w:rsidR="00685A4E">
        <w:rPr>
          <w:rFonts w:ascii="Calibri" w:hAnsi="Calibri" w:eastAsia="Calibri" w:cs="Calibri" w:asciiTheme="minorAscii" w:hAnsiTheme="minorAscii" w:cstheme="minorAscii"/>
          <w:color w:val="2E2929"/>
          <w:sz w:val="20"/>
          <w:szCs w:val="20"/>
          <w:lang w:val="es-ES"/>
        </w:rPr>
        <w:t>madrileños</w:t>
      </w:r>
      <w:r w:rsidRPr="7EE3D00F" w:rsidR="001D014A">
        <w:rPr>
          <w:rFonts w:ascii="Calibri" w:hAnsi="Calibri" w:eastAsia="Calibri" w:cs="Calibri" w:asciiTheme="minorAscii" w:hAnsiTheme="minorAscii" w:cstheme="minorAscii"/>
          <w:color w:val="2E2929"/>
          <w:sz w:val="20"/>
          <w:szCs w:val="20"/>
          <w:lang w:val="es-ES"/>
        </w:rPr>
        <w:t>).</w:t>
      </w:r>
    </w:p>
    <w:p w:rsidRPr="00685A4E" w:rsidR="00E45808" w:rsidP="00685A4E" w:rsidRDefault="00E45808" w14:paraId="5BDC3C1E" w14:textId="77777777">
      <w:pPr>
        <w:autoSpaceDE w:val="0"/>
        <w:autoSpaceDN w:val="0"/>
        <w:adjustRightInd w:val="0"/>
        <w:jc w:val="both"/>
        <w:rPr>
          <w:rFonts w:eastAsia="Calibri" w:asciiTheme="minorHAnsi" w:hAnsiTheme="minorHAnsi" w:cstheme="minorHAnsi"/>
          <w:color w:val="2E2929"/>
          <w:sz w:val="20"/>
          <w:lang w:val="es-ES"/>
        </w:rPr>
      </w:pPr>
    </w:p>
    <w:p w:rsidRPr="00685A4E" w:rsidR="00B479DA" w:rsidP="00685A4E" w:rsidRDefault="00285A09" w14:paraId="2AFB221E" w14:textId="55A64E6D">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bCs/>
          <w:color w:val="2E2929"/>
          <w:sz w:val="20"/>
          <w:u w:val="single"/>
          <w:lang w:val="es-ES"/>
        </w:rPr>
        <w:t>INTERVEN</w:t>
      </w:r>
      <w:r w:rsidRPr="00685A4E" w:rsidR="00B479DA">
        <w:rPr>
          <w:rFonts w:eastAsia="Calibri" w:asciiTheme="minorHAnsi" w:hAnsiTheme="minorHAnsi" w:cstheme="minorHAnsi"/>
          <w:b/>
          <w:bCs/>
          <w:color w:val="2E2929"/>
          <w:sz w:val="20"/>
          <w:u w:val="single"/>
          <w:lang w:val="es-ES"/>
        </w:rPr>
        <w:t>CIÓN:</w:t>
      </w:r>
      <w:r w:rsidRPr="00685A4E" w:rsidR="00685A4E">
        <w:rPr>
          <w:rFonts w:eastAsia="Calibri" w:asciiTheme="minorHAnsi" w:hAnsiTheme="minorHAnsi" w:cstheme="minorHAnsi"/>
          <w:b/>
          <w:bCs/>
          <w:color w:val="2E2929"/>
          <w:sz w:val="20"/>
          <w:u w:val="single"/>
          <w:lang w:val="es-ES"/>
        </w:rPr>
        <w:t xml:space="preserve"> </w:t>
      </w:r>
      <w:r w:rsidRPr="00685A4E" w:rsidR="00B479DA">
        <w:rPr>
          <w:rFonts w:eastAsia="Calibri" w:asciiTheme="minorHAnsi" w:hAnsiTheme="minorHAnsi" w:cstheme="minorHAnsi"/>
          <w:color w:val="2E2929"/>
          <w:sz w:val="20"/>
          <w:lang w:val="es-ES"/>
        </w:rPr>
        <w:t>Después de la firma del consentimiento informado, todos los pacientes que cumplan con los criterios de inclusión serán incluidos en el estudio. En ese momento se recogerán datos demográficos, clínicos e histológicos. Sobre la población de estudio se realizarán los procedimientos habituales desarrollados en la práctica clínica.</w:t>
      </w:r>
    </w:p>
    <w:p w:rsidRPr="00685A4E" w:rsidR="00B479DA" w:rsidP="00685A4E" w:rsidRDefault="00B479DA" w14:paraId="7F589CDB" w14:textId="77777777">
      <w:pPr>
        <w:autoSpaceDE w:val="0"/>
        <w:autoSpaceDN w:val="0"/>
        <w:adjustRightInd w:val="0"/>
        <w:jc w:val="both"/>
        <w:rPr>
          <w:rFonts w:eastAsia="Calibri" w:asciiTheme="minorHAnsi" w:hAnsiTheme="minorHAnsi" w:cstheme="minorHAnsi"/>
          <w:color w:val="2E2929"/>
          <w:sz w:val="20"/>
          <w:lang w:val="es-ES"/>
        </w:rPr>
      </w:pPr>
    </w:p>
    <w:p w:rsidRPr="00685A4E" w:rsidR="00B479DA" w:rsidP="00685A4E" w:rsidRDefault="00B479DA" w14:paraId="05867419" w14:textId="4CDB9A3F">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Las muestras de sangre periférica (3-5 mL de plasma EDTA) se recogerán aprovechando las punciones analíticas definidas por el seguimiento clínico periódico de los pacientes, evitando así la realización de procedimientos innecesarios.</w:t>
      </w:r>
    </w:p>
    <w:p w:rsidRPr="00685A4E" w:rsidR="00B479DA" w:rsidP="00685A4E" w:rsidRDefault="00B479DA" w14:paraId="1220A459" w14:textId="77777777">
      <w:pPr>
        <w:autoSpaceDE w:val="0"/>
        <w:autoSpaceDN w:val="0"/>
        <w:adjustRightInd w:val="0"/>
        <w:jc w:val="both"/>
        <w:rPr>
          <w:rFonts w:eastAsia="Calibri" w:asciiTheme="minorHAnsi" w:hAnsiTheme="minorHAnsi" w:cstheme="minorHAnsi"/>
          <w:color w:val="2E2929"/>
          <w:sz w:val="20"/>
          <w:lang w:val="es-ES"/>
        </w:rPr>
      </w:pPr>
    </w:p>
    <w:p w:rsidRPr="00685A4E" w:rsidR="00E800AE" w:rsidP="00685A4E" w:rsidRDefault="00B479DA" w14:paraId="094DA5D4"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Las muestras serán recogidas, procesadas y almacenadas (-20ºC) en los hospitales de referencia. Posteriormente serán trasladados a las dependencias del laboratorio encargado de procesarlas, donde se realizarán los trámites posteriores:</w:t>
      </w:r>
    </w:p>
    <w:p w:rsidRPr="00685A4E" w:rsidR="00B479DA" w:rsidP="00685A4E" w:rsidRDefault="00B479DA" w14:paraId="02DF720A" w14:textId="77777777">
      <w:pPr>
        <w:autoSpaceDE w:val="0"/>
        <w:autoSpaceDN w:val="0"/>
        <w:adjustRightInd w:val="0"/>
        <w:jc w:val="both"/>
        <w:rPr>
          <w:rFonts w:eastAsia="Calibri" w:asciiTheme="minorHAnsi" w:hAnsiTheme="minorHAnsi" w:cstheme="minorHAnsi"/>
          <w:color w:val="2E2929"/>
          <w:sz w:val="20"/>
          <w:lang w:val="es-ES"/>
        </w:rPr>
      </w:pPr>
    </w:p>
    <w:p w:rsidRPr="00685A4E" w:rsidR="00E800AE" w:rsidP="00685A4E" w:rsidRDefault="00B479DA" w14:paraId="512689B4" w14:textId="77777777">
      <w:pPr>
        <w:autoSpaceDE w:val="0"/>
        <w:autoSpaceDN w:val="0"/>
        <w:adjustRightInd w:val="0"/>
        <w:jc w:val="both"/>
        <w:rPr>
          <w:rFonts w:eastAsia="Calibri" w:asciiTheme="minorHAnsi" w:hAnsiTheme="minorHAnsi" w:cstheme="minorHAnsi"/>
          <w:b/>
          <w:bCs/>
          <w:color w:val="2E2929"/>
          <w:sz w:val="20"/>
          <w:u w:val="single"/>
          <w:lang w:val="es-ES"/>
        </w:rPr>
      </w:pPr>
      <w:r w:rsidRPr="00685A4E">
        <w:rPr>
          <w:rFonts w:eastAsia="Calibri" w:asciiTheme="minorHAnsi" w:hAnsiTheme="minorHAnsi" w:cstheme="minorHAnsi"/>
          <w:b/>
          <w:bCs/>
          <w:color w:val="2E2929"/>
          <w:sz w:val="20"/>
          <w:u w:val="single"/>
          <w:lang w:val="es-ES"/>
        </w:rPr>
        <w:t>METODOLOGÍA:</w:t>
      </w:r>
    </w:p>
    <w:p w:rsidRPr="00685A4E" w:rsidR="00B479DA" w:rsidP="00685A4E" w:rsidRDefault="00B479DA" w14:paraId="4E7D8E57" w14:textId="77777777">
      <w:pPr>
        <w:autoSpaceDE w:val="0"/>
        <w:autoSpaceDN w:val="0"/>
        <w:adjustRightInd w:val="0"/>
        <w:jc w:val="both"/>
        <w:rPr>
          <w:rFonts w:eastAsia="Calibri" w:asciiTheme="minorHAnsi" w:hAnsiTheme="minorHAnsi" w:cstheme="minorHAnsi"/>
          <w:color w:val="2E2929"/>
          <w:sz w:val="20"/>
          <w:lang w:val="es-ES"/>
        </w:rPr>
      </w:pPr>
    </w:p>
    <w:p w:rsidRPr="00685A4E" w:rsidR="0056483F" w:rsidP="00685A4E" w:rsidRDefault="00E800AE" w14:paraId="41CA892E" w14:textId="3391F5FE">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i/>
          <w:iCs/>
          <w:color w:val="2E2929"/>
          <w:sz w:val="20"/>
          <w:lang w:val="es-ES"/>
        </w:rPr>
        <w:t xml:space="preserve">Next </w:t>
      </w:r>
      <w:proofErr w:type="spellStart"/>
      <w:r w:rsidRPr="00685A4E">
        <w:rPr>
          <w:rFonts w:eastAsia="Calibri" w:asciiTheme="minorHAnsi" w:hAnsiTheme="minorHAnsi" w:cstheme="minorHAnsi"/>
          <w:b/>
          <w:i/>
          <w:iCs/>
          <w:color w:val="2E2929"/>
          <w:sz w:val="20"/>
          <w:lang w:val="es-ES"/>
        </w:rPr>
        <w:t>Generation</w:t>
      </w:r>
      <w:proofErr w:type="spellEnd"/>
      <w:r w:rsidRPr="00685A4E" w:rsidR="00685A4E">
        <w:rPr>
          <w:rFonts w:eastAsia="Calibri" w:asciiTheme="minorHAnsi" w:hAnsiTheme="minorHAnsi" w:cstheme="minorHAnsi"/>
          <w:b/>
          <w:i/>
          <w:iCs/>
          <w:color w:val="2E2929"/>
          <w:sz w:val="20"/>
          <w:lang w:val="es-ES"/>
        </w:rPr>
        <w:t xml:space="preserve"> </w:t>
      </w:r>
      <w:proofErr w:type="spellStart"/>
      <w:r w:rsidRPr="00685A4E">
        <w:rPr>
          <w:rFonts w:eastAsia="Calibri" w:asciiTheme="minorHAnsi" w:hAnsiTheme="minorHAnsi" w:cstheme="minorHAnsi"/>
          <w:b/>
          <w:i/>
          <w:iCs/>
          <w:color w:val="2E2929"/>
          <w:sz w:val="20"/>
          <w:lang w:val="es-ES"/>
        </w:rPr>
        <w:t>Sequencing</w:t>
      </w:r>
      <w:proofErr w:type="spellEnd"/>
      <w:r w:rsidRPr="00685A4E">
        <w:rPr>
          <w:rFonts w:eastAsia="Calibri" w:asciiTheme="minorHAnsi" w:hAnsiTheme="minorHAnsi" w:cstheme="minorHAnsi"/>
          <w:b/>
          <w:i/>
          <w:iCs/>
          <w:color w:val="2E2929"/>
          <w:sz w:val="20"/>
          <w:lang w:val="es-ES"/>
        </w:rPr>
        <w:t xml:space="preserve"> (NGS</w:t>
      </w:r>
      <w:proofErr w:type="gramStart"/>
      <w:r w:rsidRPr="00685A4E">
        <w:rPr>
          <w:rFonts w:eastAsia="Calibri" w:asciiTheme="minorHAnsi" w:hAnsiTheme="minorHAnsi" w:cstheme="minorHAnsi"/>
          <w:b/>
          <w:i/>
          <w:iCs/>
          <w:color w:val="2E2929"/>
          <w:sz w:val="20"/>
          <w:lang w:val="es-ES"/>
        </w:rPr>
        <w:t>):</w:t>
      </w:r>
      <w:r w:rsidRPr="00685A4E" w:rsidR="0056483F">
        <w:rPr>
          <w:rFonts w:eastAsia="Calibri" w:asciiTheme="minorHAnsi" w:hAnsiTheme="minorHAnsi" w:cstheme="minorHAnsi"/>
          <w:color w:val="2E2929"/>
          <w:sz w:val="20"/>
          <w:lang w:val="es-ES"/>
        </w:rPr>
        <w:t>Las</w:t>
      </w:r>
      <w:proofErr w:type="gramEnd"/>
      <w:r w:rsidRPr="00685A4E" w:rsidR="0056483F">
        <w:rPr>
          <w:rFonts w:eastAsia="Calibri" w:asciiTheme="minorHAnsi" w:hAnsiTheme="minorHAnsi" w:cstheme="minorHAnsi"/>
          <w:color w:val="2E2929"/>
          <w:sz w:val="20"/>
          <w:lang w:val="es-ES"/>
        </w:rPr>
        <w:t xml:space="preserve"> muestras de los pacientes (sangre) se someterán a purificación de ADN genómico automatizada (</w:t>
      </w:r>
      <w:proofErr w:type="spellStart"/>
      <w:r w:rsidRPr="00685A4E" w:rsidR="0056483F">
        <w:rPr>
          <w:rFonts w:eastAsia="Calibri" w:asciiTheme="minorHAnsi" w:hAnsiTheme="minorHAnsi" w:cstheme="minorHAnsi"/>
          <w:color w:val="2E2929"/>
          <w:sz w:val="20"/>
          <w:lang w:val="es-ES"/>
        </w:rPr>
        <w:t>QIAsymphony</w:t>
      </w:r>
      <w:proofErr w:type="spellEnd"/>
      <w:r w:rsidRPr="00685A4E" w:rsidR="0056483F">
        <w:rPr>
          <w:rFonts w:eastAsia="Calibri" w:asciiTheme="minorHAnsi" w:hAnsiTheme="minorHAnsi" w:cstheme="minorHAnsi"/>
          <w:color w:val="2E2929"/>
          <w:sz w:val="20"/>
          <w:lang w:val="es-ES"/>
        </w:rPr>
        <w:t xml:space="preserve"> SP®, </w:t>
      </w:r>
      <w:proofErr w:type="spellStart"/>
      <w:r w:rsidRPr="00685A4E" w:rsidR="0056483F">
        <w:rPr>
          <w:rFonts w:eastAsia="Calibri" w:asciiTheme="minorHAnsi" w:hAnsiTheme="minorHAnsi" w:cstheme="minorHAnsi"/>
          <w:color w:val="2E2929"/>
          <w:sz w:val="20"/>
          <w:lang w:val="es-ES"/>
        </w:rPr>
        <w:t>Qiagen</w:t>
      </w:r>
      <w:proofErr w:type="spellEnd"/>
      <w:r w:rsidRPr="00685A4E" w:rsidR="0056483F">
        <w:rPr>
          <w:rFonts w:eastAsia="Calibri" w:asciiTheme="minorHAnsi" w:hAnsiTheme="minorHAnsi" w:cstheme="minorHAnsi"/>
          <w:color w:val="2E2929"/>
          <w:sz w:val="20"/>
          <w:lang w:val="es-ES"/>
        </w:rPr>
        <w:t xml:space="preserve">). La preparación de bibliotecas se llevó a cabo con el kit de preparación de bibliotecas Agilent </w:t>
      </w:r>
      <w:proofErr w:type="spellStart"/>
      <w:r w:rsidRPr="00685A4E" w:rsidR="0056483F">
        <w:rPr>
          <w:rFonts w:eastAsia="Calibri" w:asciiTheme="minorHAnsi" w:hAnsiTheme="minorHAnsi" w:cstheme="minorHAnsi"/>
          <w:color w:val="2E2929"/>
          <w:sz w:val="20"/>
          <w:lang w:val="es-ES"/>
        </w:rPr>
        <w:t>SureSelect</w:t>
      </w:r>
      <w:proofErr w:type="spellEnd"/>
      <w:r w:rsidRPr="00685A4E" w:rsidR="0056483F">
        <w:rPr>
          <w:rFonts w:eastAsia="Calibri" w:asciiTheme="minorHAnsi" w:hAnsiTheme="minorHAnsi" w:cstheme="minorHAnsi"/>
          <w:color w:val="2E2929"/>
          <w:sz w:val="20"/>
          <w:lang w:val="es-ES"/>
        </w:rPr>
        <w:t xml:space="preserve"> para la secuenciación multiplexada de extremo emparejado de </w:t>
      </w:r>
      <w:proofErr w:type="spellStart"/>
      <w:r w:rsidRPr="00685A4E" w:rsidR="0056483F">
        <w:rPr>
          <w:rFonts w:eastAsia="Calibri" w:asciiTheme="minorHAnsi" w:hAnsiTheme="minorHAnsi" w:cstheme="minorHAnsi"/>
          <w:color w:val="2E2929"/>
          <w:sz w:val="20"/>
          <w:lang w:val="es-ES"/>
        </w:rPr>
        <w:t>Illumina</w:t>
      </w:r>
      <w:proofErr w:type="spellEnd"/>
      <w:r w:rsidRPr="00685A4E" w:rsidR="0056483F">
        <w:rPr>
          <w:rFonts w:eastAsia="Calibri" w:asciiTheme="minorHAnsi" w:hAnsiTheme="minorHAnsi" w:cstheme="minorHAnsi"/>
          <w:color w:val="2E2929"/>
          <w:sz w:val="20"/>
          <w:lang w:val="es-ES"/>
        </w:rPr>
        <w:t xml:space="preserve"> de acuerdo con las instrucciones del fabricante. El enriquecimiento de las regiones de interés se realizó utilizando un kit de sonda </w:t>
      </w:r>
      <w:proofErr w:type="spellStart"/>
      <w:r w:rsidRPr="00685A4E" w:rsidR="0056483F">
        <w:rPr>
          <w:rFonts w:eastAsia="Calibri" w:asciiTheme="minorHAnsi" w:hAnsiTheme="minorHAnsi" w:cstheme="minorHAnsi"/>
          <w:color w:val="2E2929"/>
          <w:sz w:val="20"/>
          <w:lang w:val="es-ES"/>
        </w:rPr>
        <w:t>SureSelect</w:t>
      </w:r>
      <w:proofErr w:type="spellEnd"/>
      <w:r w:rsidRPr="00685A4E" w:rsidR="0056483F">
        <w:rPr>
          <w:rFonts w:eastAsia="Calibri" w:asciiTheme="minorHAnsi" w:hAnsiTheme="minorHAnsi" w:cstheme="minorHAnsi"/>
          <w:color w:val="2E2929"/>
          <w:sz w:val="20"/>
          <w:lang w:val="es-ES"/>
        </w:rPr>
        <w:t xml:space="preserve"> (Agilent) que captura selectivamente las regiones codificantes y las áreas </w:t>
      </w:r>
      <w:proofErr w:type="spellStart"/>
      <w:r w:rsidRPr="00685A4E" w:rsidR="0056483F">
        <w:rPr>
          <w:rFonts w:eastAsia="Calibri" w:asciiTheme="minorHAnsi" w:hAnsiTheme="minorHAnsi" w:cstheme="minorHAnsi"/>
          <w:color w:val="2E2929"/>
          <w:sz w:val="20"/>
          <w:lang w:val="es-ES"/>
        </w:rPr>
        <w:t>intrónicas</w:t>
      </w:r>
      <w:proofErr w:type="spellEnd"/>
      <w:r w:rsidRPr="00685A4E" w:rsidR="0056483F">
        <w:rPr>
          <w:rFonts w:eastAsia="Calibri" w:asciiTheme="minorHAnsi" w:hAnsiTheme="minorHAnsi" w:cstheme="minorHAnsi"/>
          <w:color w:val="2E2929"/>
          <w:sz w:val="20"/>
          <w:lang w:val="es-ES"/>
        </w:rPr>
        <w:t xml:space="preserve"> adyacentes de los genes seleccionados. Después de la generación de grupos, el ADN capturado se secuencio en la plataforma </w:t>
      </w:r>
      <w:proofErr w:type="spellStart"/>
      <w:r w:rsidRPr="00685A4E" w:rsidR="0056483F">
        <w:rPr>
          <w:rFonts w:eastAsia="Calibri" w:asciiTheme="minorHAnsi" w:hAnsiTheme="minorHAnsi" w:cstheme="minorHAnsi"/>
          <w:color w:val="2E2929"/>
          <w:sz w:val="20"/>
          <w:lang w:val="es-ES"/>
        </w:rPr>
        <w:t>Illumina</w:t>
      </w:r>
      <w:proofErr w:type="spellEnd"/>
      <w:r w:rsidRPr="00685A4E" w:rsidR="0056483F">
        <w:rPr>
          <w:rFonts w:eastAsia="Calibri" w:asciiTheme="minorHAnsi" w:hAnsiTheme="minorHAnsi" w:cstheme="minorHAnsi"/>
          <w:color w:val="2E2929"/>
          <w:sz w:val="20"/>
          <w:lang w:val="es-ES"/>
        </w:rPr>
        <w:t>. El protocolo de laboratorio puede sufrir modificaciones con el fin de optimizar el procedimiento.</w:t>
      </w:r>
    </w:p>
    <w:p w:rsidRPr="00685A4E" w:rsidR="0056483F" w:rsidP="00685A4E" w:rsidRDefault="0056483F" w14:paraId="11FD80EE" w14:textId="77777777">
      <w:pPr>
        <w:autoSpaceDE w:val="0"/>
        <w:autoSpaceDN w:val="0"/>
        <w:adjustRightInd w:val="0"/>
        <w:jc w:val="both"/>
        <w:rPr>
          <w:rFonts w:eastAsia="Calibri" w:asciiTheme="minorHAnsi" w:hAnsiTheme="minorHAnsi" w:cstheme="minorHAnsi"/>
          <w:color w:val="2E2929"/>
          <w:sz w:val="20"/>
          <w:lang w:val="es-ES"/>
        </w:rPr>
      </w:pPr>
    </w:p>
    <w:p w:rsidRPr="00685A4E" w:rsidR="00285A09" w:rsidP="00685A4E" w:rsidRDefault="0056483F" w14:paraId="4547EE6C"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Los datos de secuenciación se analizan mediante una canalización de bioinformática patentada que incluye tanto la demultiplexación de muestras (con el software </w:t>
      </w:r>
      <w:proofErr w:type="spellStart"/>
      <w:r w:rsidRPr="00685A4E">
        <w:rPr>
          <w:rFonts w:eastAsia="Calibri" w:asciiTheme="minorHAnsi" w:hAnsiTheme="minorHAnsi" w:cstheme="minorHAnsi"/>
          <w:color w:val="2E2929"/>
          <w:sz w:val="20"/>
          <w:lang w:val="es-ES"/>
        </w:rPr>
        <w:t>Illumina</w:t>
      </w:r>
      <w:proofErr w:type="spellEnd"/>
      <w:r w:rsidRPr="00685A4E">
        <w:rPr>
          <w:rFonts w:eastAsia="Calibri" w:asciiTheme="minorHAnsi" w:hAnsiTheme="minorHAnsi" w:cstheme="minorHAnsi"/>
          <w:color w:val="2E2929"/>
          <w:sz w:val="20"/>
          <w:lang w:val="es-ES"/>
        </w:rPr>
        <w:t>) como todos los pasos necesarios para obtener un informe de variante anotado, junto con los parámetros de cobertura y calidad correspondientes. La canalización sigue esta secuencia lógica: alineación; refinamiento y ajuste de la alineación; llamada variante; normalización de variantes y puntuación de calidad; generación de estadísticas de cobertura por región de interés; Detección de CNV utilizando un método estadístico desarrollado internamente basado en la profundidad de cobertura.</w:t>
      </w:r>
    </w:p>
    <w:p w:rsidRPr="00685A4E" w:rsidR="0056483F" w:rsidP="00685A4E" w:rsidRDefault="0056483F" w14:paraId="73927568" w14:textId="77777777">
      <w:pPr>
        <w:autoSpaceDE w:val="0"/>
        <w:autoSpaceDN w:val="0"/>
        <w:adjustRightInd w:val="0"/>
        <w:jc w:val="both"/>
        <w:rPr>
          <w:rFonts w:eastAsia="Calibri" w:asciiTheme="minorHAnsi" w:hAnsiTheme="minorHAnsi" w:cstheme="minorHAnsi"/>
          <w:color w:val="2E2929"/>
          <w:sz w:val="20"/>
          <w:lang w:val="es-ES"/>
        </w:rPr>
      </w:pPr>
    </w:p>
    <w:p w:rsidRPr="00685A4E" w:rsidR="0056483F" w:rsidP="00685A4E" w:rsidRDefault="0056483F" w14:paraId="54AEFE42"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El diseño de la biblioteca de captura personalizada incluye los siguientes 529 genes relacionados con el panel global de nefropatías:</w:t>
      </w:r>
    </w:p>
    <w:p w:rsidRPr="00685A4E" w:rsidR="0056483F" w:rsidP="00685A4E" w:rsidRDefault="0056483F" w14:paraId="585CFDF8" w14:textId="77777777">
      <w:pPr>
        <w:autoSpaceDE w:val="0"/>
        <w:autoSpaceDN w:val="0"/>
        <w:adjustRightInd w:val="0"/>
        <w:jc w:val="both"/>
        <w:rPr>
          <w:rFonts w:eastAsia="Calibri" w:asciiTheme="minorHAnsi" w:hAnsiTheme="minorHAnsi" w:cstheme="minorHAnsi"/>
          <w:color w:val="2E2929"/>
          <w:sz w:val="20"/>
          <w:lang w:val="es-ES"/>
        </w:rPr>
      </w:pPr>
    </w:p>
    <w:p w:rsidRPr="00685A4E" w:rsidR="002E4552" w:rsidP="00685A4E" w:rsidRDefault="002E4552" w14:paraId="028804B0" w14:textId="77777777">
      <w:pPr>
        <w:autoSpaceDE w:val="0"/>
        <w:autoSpaceDN w:val="0"/>
        <w:adjustRightInd w:val="0"/>
        <w:jc w:val="both"/>
        <w:rPr>
          <w:rFonts w:eastAsia="Calibri" w:asciiTheme="minorHAnsi" w:hAnsiTheme="minorHAnsi" w:cstheme="minorHAnsi"/>
          <w:i/>
          <w:color w:val="2E2929"/>
          <w:sz w:val="20"/>
          <w:lang w:val="es-ES"/>
        </w:rPr>
      </w:pPr>
      <w:r w:rsidRPr="00685A4E">
        <w:rPr>
          <w:rFonts w:eastAsia="Calibri" w:asciiTheme="minorHAnsi" w:hAnsiTheme="minorHAnsi" w:cstheme="minorHAnsi"/>
          <w:i/>
          <w:color w:val="2E2929"/>
          <w:sz w:val="20"/>
          <w:lang w:val="es-ES"/>
        </w:rPr>
        <w:t xml:space="preserve">ACE, ACTB, ACTG1, ACTN4, ADAMTS13, ADAMTS9, ADCY10, AGT, AGTR1, AGXT, AHI1, ALG1, ALG8, ALG9, ALMS1, ALPL, AMER1, ANKFY1, ANKS6, ANLN, ANOS1, AP2S1, APOA1, APOA4, APOE, APOL1, APRT, AQP2, ARHGAP24, ARHGDIA, ARL13B, ARL3, ARL6, ARMC9, ATN1, ATP6V0A4, ATP6V1B1, ATP6V1C2, AVIL, AVP, AVPR2, B2M, B3GLCT, B9D1, B9D2, BBIP1, BBS1, BBS10, BBS12, BBS2, BBS4, BBS5, BBS7, BBS9, BICC1, BMP2, BMP4, BMPER, BNC2, BSCL2, BSND, C1QA, C1QB, C1QC, C3, C4A, C4B, C5orf42, C8orf37, CA1, CA2, CASP10, CASR, CC2D2A, CCBE1, CCDC28B, CCL2, CCNQ, CD151, CD2AP, CD46, CD81, CD96, CDC42, CDC5L, CDC73, CDK10, CDK20, CDKN1C, CENPF, CEP104, CEP120, CEP164, CEP290, CEP41, CEP55, CEP83, CFB, CFH, CFHR1, CFHR2, CFHR3, CFHR4, CFHR5, CFI, CFP, CHD1L, CHD7, CHRM3, CISD2, CIT, CLCN5, CLCN7, CLCNKA, CLCNKB, CLDN10, CLDN16, CLDN19, CNNM2, COL4A1, COL4A3, COL4A4, COL4A5, COL4A6, COPA, COQ2, COQ4, COQ6, COQ7, COQ8A, COQ8B, COQ9, CPT1A, CRB2, CRKL, CSPP1, CTH, CTLA4, CTNS, CTU2, CUBN, CUL3, CYP24A1, DACH1, DACT1, DCDC2, DCHS1, DDX59, DGKE, DHCR7, DLC1, DMP1, DNAJB11, DNASE1, DSTYK, DVL1, DVL3, DYNC2H1, DYNC2LI1, DZIP1L, EGF, EHHADH, EMP2, ENPP1, EP300, ESCO2, ETFA, ETFB, ETFDH, ETV4, EXOC8, EYA1, FAH, FAM20A, FAN1, FANCA, FANCB, FANCC, FANCD2, FANCE, FANCF, FANCI, FAS, FASLG, FAT1, FAT4, FCGR2A, FCGR3A, FGA, FGF10, FGF20, FGF23, FGFR2, FGFR3, FLCN, FLNA, FMN1, FN1, FOXI1, FOXP1, FRAS1, FREM1, FREM2, FUZ, FXYD2, G6PD, GANAB, GAPVD1, GATA3, GCM2, GDF11, GEMIN4, GLA, GLI3, GLIS2, GLIS3, GNA11, GPC3, GPHN, GREB1L, GRHPR, GRIP1, H19, HAAO, HAS2, HES7, HGD, HNF1A, HNF1B, HNF4A, HOGA1, HPRT1, HPSE2, HSD11B2, HSD17B4, HSPA9, IFT122, IFT140, IFT172, IFT27, IFT43, IFT46, IFT52, IFT74, IFT80, IFT81, INF2, INPP5E, INTU, INVS, IQCB1, IRF5, ITGA3, ITGA8, ITGAM, ITGB4, ITSN1, ITSN2, JAG1, JAM3, KANK1, KANK2, KANK4, KAT6B, KCNA1, KCNJ1, KCNJ10, KCNJ15, KCNJ16, KCTD1, KIAA0556, KIAA0586, KIAA0753, KIF14, KIF7, KLHL3, KMT2D, KYNU, LAGE3, LAMA5, LAMB2, LCAT, LMNA, LMX1B, LRIG2, LRP2, LRP4, LRP5, LYZ, LZTFL1, MAD2L2, MAFB, MAGED2, MAGI2, MAPKBP1, MBTPS2, MCM5, MKKS, MKS1, MMACHC, MNX1, MOCOS, MOCS1, MUC1, MYCN, MYH9, MYO1E, NAA10, NCAPG2, NDUFAF3, NDUFB8, NDUFS2, NEK1, NEK8, NEU1, NFIA, NIPBL, NOS1AP, NOTCH2, NPHP1, NPHP3, NPHP4, NPHS1, NPHS2, NR3C2, NRIP1, NSDHL, NUP107, NUP133, NUP160, NUP205, NUP85, NUP93, NXF5, NXN, OCRL, OFD1, OPLAH, OSGEP, PAX2, PAX8, PBX1, PCBD1, PCSK5, PDE6D, PDSS1, PDSS2, PEX1, PEX10, PEX11B, PEX12, PEX13, PEX14, PEX16, PEX19, PEX2, PEX26, PEX3, PEX5, PEX6, PGM3, PHEX, PHGDH, PIBF1, PIEZO2, PIGN, PIGT, PKD1, PKD2, PKHD1, PLA2R1, PLCE1, PMM2, PODXL, PORCN, PRKCD, PRKCSH, PRPS1, PTEN, PTPN22, PTPRO, PUF60, RAD21, RAI1, RARRES1, REN, RERE, RET, RFWD3, RMND1, RNU4ATAC, ROBO2, ROR2, RPGRIP1L, RPL26, SALL1, SALL4, SARS2, SCARB2, SCNN1A, SCNN1B, SCNN1G, SDCCAG8, SEC61A1, SEC61B, SEC63, SEMA3E, SF3B4, SGPL1, SI, SIX1, SIX2, SIX5, SLC12A1, SLC12A2, SLC12A3, SLC12A7, SLC22A12, SLC26A1, SLC26A7, SLC2A2, SLC2A9, SLC34A1, SLC34A3, SLC36A2, SLC3A1, SLC41A1, SLC4A1, SLC4A2, SLC4A4, SLC5A1, SLC5A2, SLC6A19, </w:t>
      </w:r>
      <w:r w:rsidRPr="00685A4E">
        <w:rPr>
          <w:rFonts w:eastAsia="Calibri" w:asciiTheme="minorHAnsi" w:hAnsiTheme="minorHAnsi" w:cstheme="minorHAnsi"/>
          <w:i/>
          <w:color w:val="2E2929"/>
          <w:sz w:val="20"/>
          <w:lang w:val="es-ES"/>
        </w:rPr>
        <w:t>SLC6A20, SLC7A7, SLC7A9, SLC9A3R1, SLIT2, SMARCAL1, SNRPB, SON, SOX11, SOX17, SPRY2, SRGAP1, STAT1, STAT4, STK11, STRA6, STS, SUFU, SYNPO, TBC1D24, TBC1D8B, TBX18, TBX4, TBXT, TCTN1, TCTN2, TCTN3, TFAP2A, THBD, THOC6, TMEM107, TMEM138, TMEM216, TMEM231, TMEM237, TMEM260, TMEM67, TNFSF4, TNIP1, TNS2, TNXB, TP53RK, TP63, TPRKB, TRAF3IP1, TRAP1, TREX1, TRIM32, TRIP11, TRPC6, TRPM6, TRPS1, TRRAP, TSC1, TSC2, TTC21B, TTC37, TTC8, TXNDC15, TXNL4A, UMOD, UPK3A, USP8, VANGL1, VANGL2, VDR, VHL, VIPAS39, VPS33B, VTN, WDPCP, WDR19, WDR34, WDR35, WDR60, WDR72, WDR73, WFS1, WNK1, WNK4, WNT3, WNT4, WNT5A, WNT7A, WT1, XDH, XPNPEP3, XPO5, XRCC2, XRCC4, ZAP70, ZIC3, ZMPSTE24, ZNF148, ZNF365, ZNF423.</w:t>
      </w:r>
    </w:p>
    <w:p w:rsidRPr="00685A4E" w:rsidR="002E4552" w:rsidP="00685A4E" w:rsidRDefault="002E4552" w14:paraId="37289580" w14:textId="77777777">
      <w:pPr>
        <w:autoSpaceDE w:val="0"/>
        <w:autoSpaceDN w:val="0"/>
        <w:adjustRightInd w:val="0"/>
        <w:jc w:val="both"/>
        <w:rPr>
          <w:rFonts w:eastAsia="Calibri" w:asciiTheme="minorHAnsi" w:hAnsiTheme="minorHAnsi" w:cstheme="minorHAnsi"/>
          <w:color w:val="2E2929"/>
          <w:sz w:val="20"/>
          <w:lang w:val="es-ES"/>
        </w:rPr>
      </w:pPr>
    </w:p>
    <w:p w:rsidRPr="00685A4E" w:rsidR="0056483F" w:rsidP="00685A4E" w:rsidRDefault="0056483F" w14:paraId="2AFC26DF"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Los genes incluidos en esta prueba han sido seleccionados clínicamente de acuerdo con su relación con un fenotipo particular y clasificados según la evidencia que respalda esta asociación en genes prioritarios, secundarios y candidatos.</w:t>
      </w:r>
    </w:p>
    <w:p w:rsidRPr="00685A4E" w:rsidR="0056483F" w:rsidP="00685A4E" w:rsidRDefault="0056483F" w14:paraId="266BFB8D" w14:textId="77777777">
      <w:pPr>
        <w:autoSpaceDE w:val="0"/>
        <w:autoSpaceDN w:val="0"/>
        <w:adjustRightInd w:val="0"/>
        <w:jc w:val="both"/>
        <w:rPr>
          <w:rFonts w:eastAsia="Calibri" w:asciiTheme="minorHAnsi" w:hAnsiTheme="minorHAnsi" w:cstheme="minorHAnsi"/>
          <w:color w:val="2E2929"/>
          <w:sz w:val="20"/>
          <w:lang w:val="es-ES"/>
        </w:rPr>
      </w:pPr>
    </w:p>
    <w:p w:rsidRPr="00685A4E" w:rsidR="0056483F" w:rsidP="00685A4E" w:rsidRDefault="0056483F" w14:paraId="179E0F17" w14:textId="72178A9C">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Las sondas se diseñaron para cubrir adecuadamente todos los exones codificantes y 50 pares de bases (pb) de secuencias </w:t>
      </w:r>
      <w:proofErr w:type="spellStart"/>
      <w:r w:rsidRPr="00685A4E">
        <w:rPr>
          <w:rFonts w:eastAsia="Calibri" w:asciiTheme="minorHAnsi" w:hAnsiTheme="minorHAnsi" w:cstheme="minorHAnsi"/>
          <w:color w:val="2E2929"/>
          <w:sz w:val="20"/>
          <w:lang w:val="es-ES"/>
        </w:rPr>
        <w:t>intrónicas</w:t>
      </w:r>
      <w:proofErr w:type="spellEnd"/>
      <w:r w:rsidRPr="00685A4E" w:rsidR="00685A4E">
        <w:rPr>
          <w:rFonts w:eastAsia="Calibri" w:asciiTheme="minorHAnsi" w:hAnsiTheme="minorHAnsi" w:cstheme="minorHAnsi"/>
          <w:color w:val="2E2929"/>
          <w:sz w:val="20"/>
          <w:lang w:val="es-ES"/>
        </w:rPr>
        <w:t xml:space="preserve"> </w:t>
      </w:r>
      <w:proofErr w:type="spellStart"/>
      <w:r w:rsidRPr="00685A4E">
        <w:rPr>
          <w:rFonts w:eastAsia="Calibri" w:asciiTheme="minorHAnsi" w:hAnsiTheme="minorHAnsi" w:cstheme="minorHAnsi"/>
          <w:color w:val="2E2929"/>
          <w:sz w:val="20"/>
          <w:lang w:val="es-ES"/>
        </w:rPr>
        <w:t>flanqueantes</w:t>
      </w:r>
      <w:proofErr w:type="spellEnd"/>
      <w:r w:rsidRPr="00685A4E">
        <w:rPr>
          <w:rFonts w:eastAsia="Calibri" w:asciiTheme="minorHAnsi" w:hAnsiTheme="minorHAnsi" w:cstheme="minorHAnsi"/>
          <w:color w:val="2E2929"/>
          <w:sz w:val="20"/>
          <w:lang w:val="es-ES"/>
        </w:rPr>
        <w:t xml:space="preserve">; por lo tanto, esta prueba no puede identificar variantes genéticas ubicadas en zonas </w:t>
      </w:r>
      <w:proofErr w:type="spellStart"/>
      <w:r w:rsidRPr="00685A4E">
        <w:rPr>
          <w:rFonts w:eastAsia="Calibri" w:asciiTheme="minorHAnsi" w:hAnsiTheme="minorHAnsi" w:cstheme="minorHAnsi"/>
          <w:color w:val="2E2929"/>
          <w:sz w:val="20"/>
          <w:lang w:val="es-ES"/>
        </w:rPr>
        <w:t>intrónicas</w:t>
      </w:r>
      <w:proofErr w:type="spellEnd"/>
      <w:r w:rsidRPr="00685A4E">
        <w:rPr>
          <w:rFonts w:eastAsia="Calibri" w:asciiTheme="minorHAnsi" w:hAnsiTheme="minorHAnsi" w:cstheme="minorHAnsi"/>
          <w:color w:val="2E2929"/>
          <w:sz w:val="20"/>
          <w:lang w:val="es-ES"/>
        </w:rPr>
        <w:t xml:space="preserve"> alejadas de los sitios de empalme o regiones UTR.</w:t>
      </w:r>
    </w:p>
    <w:p w:rsidRPr="00685A4E" w:rsidR="0056483F" w:rsidP="00685A4E" w:rsidRDefault="0056483F" w14:paraId="25B5A80B" w14:textId="77777777">
      <w:pPr>
        <w:autoSpaceDE w:val="0"/>
        <w:autoSpaceDN w:val="0"/>
        <w:adjustRightInd w:val="0"/>
        <w:jc w:val="both"/>
        <w:rPr>
          <w:rFonts w:eastAsia="Calibri" w:asciiTheme="minorHAnsi" w:hAnsiTheme="minorHAnsi" w:cstheme="minorHAnsi"/>
          <w:color w:val="2E2929"/>
          <w:sz w:val="20"/>
          <w:lang w:val="es-ES"/>
        </w:rPr>
      </w:pPr>
    </w:p>
    <w:p w:rsidRPr="00685A4E" w:rsidR="002E4552" w:rsidP="00685A4E" w:rsidRDefault="0056483F" w14:paraId="44FC7ACC"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Las regiones secuenciadas con cobertura limitada se enumeran al final de este apéndice en "Estadísticas de cobertura del estudio".</w:t>
      </w:r>
    </w:p>
    <w:p w:rsidRPr="00685A4E" w:rsidR="002E4552" w:rsidP="00685A4E" w:rsidRDefault="002E4552" w14:paraId="24FFC4EB" w14:textId="77777777">
      <w:pPr>
        <w:autoSpaceDE w:val="0"/>
        <w:autoSpaceDN w:val="0"/>
        <w:adjustRightInd w:val="0"/>
        <w:jc w:val="both"/>
        <w:rPr>
          <w:rFonts w:eastAsia="Calibri" w:asciiTheme="minorHAnsi" w:hAnsiTheme="minorHAnsi" w:cstheme="minorHAnsi"/>
          <w:color w:val="2E2929"/>
          <w:sz w:val="20"/>
          <w:lang w:val="es-ES"/>
        </w:rPr>
      </w:pPr>
    </w:p>
    <w:p w:rsidRPr="00685A4E" w:rsidR="002E4552" w:rsidP="00685A4E" w:rsidRDefault="002E4552" w14:paraId="033238ED" w14:textId="1F6E54F3">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color w:val="2E2929"/>
          <w:sz w:val="20"/>
          <w:lang w:val="es-ES"/>
        </w:rPr>
        <w:t>An</w:t>
      </w:r>
      <w:r w:rsidRPr="00685A4E" w:rsidR="0056483F">
        <w:rPr>
          <w:rFonts w:eastAsia="Calibri" w:asciiTheme="minorHAnsi" w:hAnsiTheme="minorHAnsi" w:cstheme="minorHAnsi"/>
          <w:b/>
          <w:color w:val="2E2929"/>
          <w:sz w:val="20"/>
          <w:lang w:val="es-ES"/>
        </w:rPr>
        <w:t xml:space="preserve">álisis de </w:t>
      </w:r>
      <w:proofErr w:type="spellStart"/>
      <w:r w:rsidRPr="00685A4E">
        <w:rPr>
          <w:rFonts w:eastAsia="Calibri" w:asciiTheme="minorHAnsi" w:hAnsiTheme="minorHAnsi" w:cstheme="minorHAnsi"/>
          <w:b/>
          <w:color w:val="2E2929"/>
          <w:sz w:val="20"/>
          <w:lang w:val="es-ES"/>
        </w:rPr>
        <w:t>SNVs</w:t>
      </w:r>
      <w:r w:rsidRPr="00685A4E" w:rsidR="0056483F">
        <w:rPr>
          <w:rFonts w:eastAsia="Calibri" w:asciiTheme="minorHAnsi" w:hAnsiTheme="minorHAnsi" w:cstheme="minorHAnsi"/>
          <w:b/>
          <w:color w:val="2E2929"/>
          <w:sz w:val="20"/>
          <w:lang w:val="es-ES"/>
        </w:rPr>
        <w:t>e</w:t>
      </w:r>
      <w:r w:rsidRPr="00685A4E">
        <w:rPr>
          <w:rFonts w:eastAsia="Calibri" w:asciiTheme="minorHAnsi" w:hAnsiTheme="minorHAnsi" w:cstheme="minorHAnsi"/>
          <w:b/>
          <w:color w:val="2E2929"/>
          <w:sz w:val="20"/>
          <w:lang w:val="es-ES"/>
        </w:rPr>
        <w:t>INDELs</w:t>
      </w:r>
      <w:proofErr w:type="spellEnd"/>
      <w:r w:rsidRPr="00685A4E">
        <w:rPr>
          <w:rFonts w:eastAsia="Calibri" w:asciiTheme="minorHAnsi" w:hAnsiTheme="minorHAnsi" w:cstheme="minorHAnsi"/>
          <w:b/>
          <w:color w:val="2E2929"/>
          <w:sz w:val="20"/>
          <w:lang w:val="es-ES"/>
        </w:rPr>
        <w:t>:</w:t>
      </w:r>
      <w:r w:rsidRPr="00685A4E" w:rsidR="00685A4E">
        <w:rPr>
          <w:rFonts w:eastAsia="Calibri" w:asciiTheme="minorHAnsi" w:hAnsiTheme="minorHAnsi" w:cstheme="minorHAnsi"/>
          <w:b/>
          <w:color w:val="2E2929"/>
          <w:sz w:val="20"/>
          <w:lang w:val="es-ES"/>
        </w:rPr>
        <w:t xml:space="preserve"> </w:t>
      </w:r>
      <w:r w:rsidRPr="00685A4E" w:rsidR="0056483F">
        <w:rPr>
          <w:rFonts w:eastAsia="Calibri" w:asciiTheme="minorHAnsi" w:hAnsiTheme="minorHAnsi" w:cstheme="minorHAnsi"/>
          <w:color w:val="2E2929"/>
          <w:sz w:val="20"/>
          <w:lang w:val="es-ES"/>
        </w:rPr>
        <w:t xml:space="preserve">Esta prueba puede identificar variantes de un solo nucleótido (SNV) e inserciones/deleciones (INDEL) de hasta 20 pb. Las variantes genéticas se identifican utilizando el genoma de referencia GRCh37/hg19 y se notifican siguiendo las recomendaciones de la Human </w:t>
      </w:r>
      <w:proofErr w:type="spellStart"/>
      <w:r w:rsidRPr="00685A4E" w:rsidR="0056483F">
        <w:rPr>
          <w:rFonts w:eastAsia="Calibri" w:asciiTheme="minorHAnsi" w:hAnsiTheme="minorHAnsi" w:cstheme="minorHAnsi"/>
          <w:color w:val="2E2929"/>
          <w:sz w:val="20"/>
          <w:lang w:val="es-ES"/>
        </w:rPr>
        <w:t>Genome</w:t>
      </w:r>
      <w:proofErr w:type="spellEnd"/>
      <w:r w:rsidRPr="00685A4E" w:rsidR="00685A4E">
        <w:rPr>
          <w:rFonts w:eastAsia="Calibri" w:asciiTheme="minorHAnsi" w:hAnsiTheme="minorHAnsi" w:cstheme="minorHAnsi"/>
          <w:color w:val="2E2929"/>
          <w:sz w:val="20"/>
          <w:lang w:val="es-ES"/>
        </w:rPr>
        <w:t xml:space="preserve"> </w:t>
      </w:r>
      <w:proofErr w:type="spellStart"/>
      <w:r w:rsidRPr="00685A4E" w:rsidR="0056483F">
        <w:rPr>
          <w:rFonts w:eastAsia="Calibri" w:asciiTheme="minorHAnsi" w:hAnsiTheme="minorHAnsi" w:cstheme="minorHAnsi"/>
          <w:color w:val="2E2929"/>
          <w:sz w:val="20"/>
          <w:lang w:val="es-ES"/>
        </w:rPr>
        <w:t>Variation</w:t>
      </w:r>
      <w:proofErr w:type="spellEnd"/>
      <w:r w:rsidRPr="00685A4E" w:rsidR="00685A4E">
        <w:rPr>
          <w:rFonts w:eastAsia="Calibri" w:asciiTheme="minorHAnsi" w:hAnsiTheme="minorHAnsi" w:cstheme="minorHAnsi"/>
          <w:color w:val="2E2929"/>
          <w:sz w:val="20"/>
          <w:lang w:val="es-ES"/>
        </w:rPr>
        <w:t xml:space="preserve"> </w:t>
      </w:r>
      <w:proofErr w:type="spellStart"/>
      <w:r w:rsidRPr="00685A4E" w:rsidR="0056483F">
        <w:rPr>
          <w:rFonts w:eastAsia="Calibri" w:asciiTheme="minorHAnsi" w:hAnsiTheme="minorHAnsi" w:cstheme="minorHAnsi"/>
          <w:color w:val="2E2929"/>
          <w:sz w:val="20"/>
          <w:lang w:val="es-ES"/>
        </w:rPr>
        <w:t>Society</w:t>
      </w:r>
      <w:proofErr w:type="spellEnd"/>
      <w:r w:rsidRPr="00685A4E" w:rsidR="0056483F">
        <w:rPr>
          <w:rFonts w:eastAsia="Calibri" w:asciiTheme="minorHAnsi" w:hAnsiTheme="minorHAnsi" w:cstheme="minorHAnsi"/>
          <w:color w:val="2E2929"/>
          <w:sz w:val="20"/>
          <w:lang w:val="es-ES"/>
        </w:rPr>
        <w:t xml:space="preserve"> (HGVS) </w:t>
      </w:r>
      <w:r w:rsidRPr="00685A4E" w:rsidR="0056483F">
        <w:rPr>
          <w:rFonts w:eastAsia="Calibri" w:asciiTheme="minorHAnsi" w:hAnsiTheme="minorHAnsi" w:cstheme="minorHAnsi"/>
          <w:color w:val="0000FF"/>
          <w:sz w:val="20"/>
          <w:lang w:val="es-ES"/>
        </w:rPr>
        <w:t>(www.hgvs.org).</w:t>
      </w:r>
      <w:r w:rsidRPr="00685A4E" w:rsidR="0056483F">
        <w:rPr>
          <w:rFonts w:eastAsia="Calibri" w:asciiTheme="minorHAnsi" w:hAnsiTheme="minorHAnsi" w:cstheme="minorHAnsi"/>
          <w:color w:val="2E2929"/>
          <w:sz w:val="20"/>
          <w:lang w:val="es-ES"/>
        </w:rPr>
        <w:t xml:space="preserve"> La patogenicidad de la variante puede estar sujeta a cambios a medida que aparezca nueva evidencia científica.</w:t>
      </w:r>
    </w:p>
    <w:p w:rsidRPr="00685A4E" w:rsidR="002E4552" w:rsidP="00685A4E" w:rsidRDefault="002E4552" w14:paraId="38BE8F80" w14:textId="77777777">
      <w:pPr>
        <w:autoSpaceDE w:val="0"/>
        <w:autoSpaceDN w:val="0"/>
        <w:adjustRightInd w:val="0"/>
        <w:jc w:val="both"/>
        <w:rPr>
          <w:rFonts w:eastAsia="Calibri" w:asciiTheme="minorHAnsi" w:hAnsiTheme="minorHAnsi" w:cstheme="minorHAnsi"/>
          <w:color w:val="2E2929"/>
          <w:sz w:val="20"/>
          <w:lang w:val="es-ES"/>
        </w:rPr>
      </w:pPr>
    </w:p>
    <w:p w:rsidRPr="00685A4E" w:rsidR="0056483F" w:rsidP="00685A4E" w:rsidRDefault="0056483F" w14:paraId="0193EC36"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color w:val="2E2929"/>
          <w:sz w:val="20"/>
          <w:lang w:val="es-ES"/>
        </w:rPr>
        <w:t xml:space="preserve">Estudios de confirmación: </w:t>
      </w:r>
      <w:r w:rsidRPr="00685A4E">
        <w:rPr>
          <w:rFonts w:eastAsia="Calibri" w:asciiTheme="minorHAnsi" w:hAnsiTheme="minorHAnsi" w:cstheme="minorHAnsi"/>
          <w:color w:val="2E2929"/>
          <w:sz w:val="20"/>
          <w:lang w:val="es-ES"/>
        </w:rPr>
        <w:t>Las variantes incluidas en la tabla principal que cumplen las condiciones siguientes se confirman mediante pruebas ortogonales.</w:t>
      </w:r>
    </w:p>
    <w:p w:rsidRPr="00685A4E" w:rsidR="0056483F" w:rsidP="00685A4E" w:rsidRDefault="0056483F" w14:paraId="22D97B68" w14:textId="77777777">
      <w:pPr>
        <w:autoSpaceDE w:val="0"/>
        <w:autoSpaceDN w:val="0"/>
        <w:adjustRightInd w:val="0"/>
        <w:jc w:val="both"/>
        <w:rPr>
          <w:rFonts w:eastAsia="Calibri" w:asciiTheme="minorHAnsi" w:hAnsiTheme="minorHAnsi" w:cstheme="minorHAnsi"/>
          <w:color w:val="2E2929"/>
          <w:sz w:val="20"/>
          <w:lang w:val="es-ES"/>
        </w:rPr>
      </w:pPr>
    </w:p>
    <w:p w:rsidRPr="00685A4E" w:rsidR="0056483F" w:rsidP="00685A4E" w:rsidRDefault="0056483F" w14:paraId="0C600992"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 Variantes de punto (SNV) e inserciones, eliminaciones y/o INDEL de ≤4 pb que cumplen al menos uno de los siguientes criterios: llamado por solo un llamador de variante, calidad subóptima (QUAL &lt; 100), profundidad de cobertura &lt; 30x, variantes en baja </w:t>
      </w:r>
      <w:proofErr w:type="spellStart"/>
      <w:r w:rsidRPr="00685A4E">
        <w:rPr>
          <w:rFonts w:eastAsia="Calibri" w:asciiTheme="minorHAnsi" w:hAnsiTheme="minorHAnsi" w:cstheme="minorHAnsi"/>
          <w:color w:val="2E2929"/>
          <w:sz w:val="20"/>
          <w:lang w:val="es-ES"/>
        </w:rPr>
        <w:t>mapeabilidad</w:t>
      </w:r>
      <w:proofErr w:type="spellEnd"/>
      <w:r w:rsidRPr="00685A4E">
        <w:rPr>
          <w:rFonts w:eastAsia="Calibri" w:asciiTheme="minorHAnsi" w:hAnsiTheme="minorHAnsi" w:cstheme="minorHAnsi"/>
          <w:color w:val="2E2929"/>
          <w:sz w:val="20"/>
          <w:lang w:val="es-ES"/>
        </w:rPr>
        <w:t xml:space="preserve"> o múltiples regiones de alineación.</w:t>
      </w:r>
    </w:p>
    <w:p w:rsidRPr="00685A4E" w:rsidR="0056483F" w:rsidP="00685A4E" w:rsidRDefault="0056483F" w14:paraId="5B5BDB46" w14:textId="77777777">
      <w:pPr>
        <w:autoSpaceDE w:val="0"/>
        <w:autoSpaceDN w:val="0"/>
        <w:adjustRightInd w:val="0"/>
        <w:jc w:val="both"/>
        <w:rPr>
          <w:rFonts w:eastAsia="Calibri" w:asciiTheme="minorHAnsi" w:hAnsiTheme="minorHAnsi" w:cstheme="minorHAnsi"/>
          <w:color w:val="2E2929"/>
          <w:sz w:val="20"/>
          <w:lang w:val="es-ES"/>
        </w:rPr>
      </w:pPr>
    </w:p>
    <w:p w:rsidRPr="00685A4E" w:rsidR="0056483F" w:rsidP="00685A4E" w:rsidRDefault="0056483F" w14:paraId="6DF7FB95"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 Inserciones, deleciones y/o </w:t>
      </w:r>
      <w:proofErr w:type="spellStart"/>
      <w:r w:rsidRPr="00685A4E">
        <w:rPr>
          <w:rFonts w:eastAsia="Calibri" w:asciiTheme="minorHAnsi" w:hAnsiTheme="minorHAnsi" w:cstheme="minorHAnsi"/>
          <w:color w:val="2E2929"/>
          <w:sz w:val="20"/>
          <w:lang w:val="es-ES"/>
        </w:rPr>
        <w:t>INDELs</w:t>
      </w:r>
      <w:proofErr w:type="spellEnd"/>
      <w:r w:rsidRPr="00685A4E">
        <w:rPr>
          <w:rFonts w:eastAsia="Calibri" w:asciiTheme="minorHAnsi" w:hAnsiTheme="minorHAnsi" w:cstheme="minorHAnsi"/>
          <w:color w:val="2E2929"/>
          <w:sz w:val="20"/>
          <w:lang w:val="es-ES"/>
        </w:rPr>
        <w:t>&gt;4 pb.</w:t>
      </w:r>
    </w:p>
    <w:p w:rsidRPr="00685A4E" w:rsidR="0056483F" w:rsidP="00685A4E" w:rsidRDefault="0056483F" w14:paraId="5D7B81E8" w14:textId="77777777">
      <w:pPr>
        <w:autoSpaceDE w:val="0"/>
        <w:autoSpaceDN w:val="0"/>
        <w:adjustRightInd w:val="0"/>
        <w:jc w:val="both"/>
        <w:rPr>
          <w:rFonts w:eastAsia="Calibri" w:asciiTheme="minorHAnsi" w:hAnsiTheme="minorHAnsi" w:cstheme="minorHAnsi"/>
          <w:color w:val="2E2929"/>
          <w:sz w:val="20"/>
          <w:lang w:val="es-ES"/>
        </w:rPr>
      </w:pPr>
    </w:p>
    <w:p w:rsidRPr="00685A4E" w:rsidR="002E4552" w:rsidP="00685A4E" w:rsidRDefault="0056483F" w14:paraId="66338802"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De manera similar, las regiones de baja cobertura en genes prioritarios que pueden ser de interés clínico se vuelven a secuenciar mediante el método de Sanger.</w:t>
      </w:r>
    </w:p>
    <w:p w:rsidRPr="00685A4E" w:rsidR="002E4552" w:rsidP="00685A4E" w:rsidRDefault="002E4552" w14:paraId="61F58FB0" w14:textId="77777777">
      <w:pPr>
        <w:autoSpaceDE w:val="0"/>
        <w:autoSpaceDN w:val="0"/>
        <w:adjustRightInd w:val="0"/>
        <w:jc w:val="both"/>
        <w:rPr>
          <w:rFonts w:eastAsia="Calibri" w:asciiTheme="minorHAnsi" w:hAnsiTheme="minorHAnsi" w:cstheme="minorHAnsi"/>
          <w:color w:val="2E2929"/>
          <w:sz w:val="20"/>
          <w:lang w:val="es-ES"/>
        </w:rPr>
      </w:pPr>
    </w:p>
    <w:p w:rsidRPr="00685A4E" w:rsidR="002E4552" w:rsidP="00685A4E" w:rsidRDefault="0056483F" w14:paraId="3331BE15" w14:textId="44FDBD85">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color w:val="2E2929"/>
          <w:sz w:val="20"/>
          <w:lang w:val="es-ES"/>
        </w:rPr>
        <w:t xml:space="preserve">Análisis </w:t>
      </w:r>
      <w:r w:rsidRPr="00685A4E" w:rsidR="002E4552">
        <w:rPr>
          <w:rFonts w:eastAsia="Calibri" w:asciiTheme="minorHAnsi" w:hAnsiTheme="minorHAnsi" w:cstheme="minorHAnsi"/>
          <w:b/>
          <w:color w:val="2E2929"/>
          <w:sz w:val="20"/>
          <w:lang w:val="es-ES"/>
        </w:rPr>
        <w:t>CNV:</w:t>
      </w:r>
      <w:r w:rsidRPr="00685A4E" w:rsidR="00685A4E">
        <w:rPr>
          <w:rFonts w:eastAsia="Calibri" w:asciiTheme="minorHAnsi" w:hAnsiTheme="minorHAnsi" w:cstheme="minorHAnsi"/>
          <w:b/>
          <w:color w:val="2E2929"/>
          <w:sz w:val="20"/>
          <w:lang w:val="es-ES"/>
        </w:rPr>
        <w:t xml:space="preserve"> </w:t>
      </w:r>
      <w:r w:rsidRPr="00685A4E">
        <w:rPr>
          <w:rFonts w:eastAsia="Calibri" w:asciiTheme="minorHAnsi" w:hAnsiTheme="minorHAnsi" w:cstheme="minorHAnsi"/>
          <w:color w:val="2E2929"/>
          <w:sz w:val="20"/>
          <w:lang w:val="es-ES"/>
        </w:rPr>
        <w:t xml:space="preserve">Este análisis se lleva a cabo utilizando una canalización de bioinformática interna. El software compara datos de profundidad de lectura normalizados. Detecta duplicaciones y deleciones, desde el nivel </w:t>
      </w:r>
      <w:proofErr w:type="spellStart"/>
      <w:r w:rsidRPr="00685A4E">
        <w:rPr>
          <w:rFonts w:eastAsia="Calibri" w:asciiTheme="minorHAnsi" w:hAnsiTheme="minorHAnsi" w:cstheme="minorHAnsi"/>
          <w:color w:val="2E2929"/>
          <w:sz w:val="20"/>
          <w:lang w:val="es-ES"/>
        </w:rPr>
        <w:t>subexónico</w:t>
      </w:r>
      <w:proofErr w:type="spellEnd"/>
      <w:r w:rsidRPr="00685A4E">
        <w:rPr>
          <w:rFonts w:eastAsia="Calibri" w:asciiTheme="minorHAnsi" w:hAnsiTheme="minorHAnsi" w:cstheme="minorHAnsi"/>
          <w:color w:val="2E2929"/>
          <w:sz w:val="20"/>
          <w:lang w:val="es-ES"/>
        </w:rPr>
        <w:t xml:space="preserve"> hasta el nivel de genes completos. La detección de CNV por este método depende de la calidad de las muestras y del número de muestras de control. Cuando la detección de CNV con este método no es posible, se informa como "CNV no evaluables".</w:t>
      </w:r>
    </w:p>
    <w:p w:rsidRPr="00685A4E" w:rsidR="002E4552" w:rsidP="00685A4E" w:rsidRDefault="002E4552" w14:paraId="1655FF7A" w14:textId="77777777">
      <w:pPr>
        <w:autoSpaceDE w:val="0"/>
        <w:autoSpaceDN w:val="0"/>
        <w:adjustRightInd w:val="0"/>
        <w:jc w:val="both"/>
        <w:rPr>
          <w:rFonts w:eastAsia="Calibri" w:asciiTheme="minorHAnsi" w:hAnsiTheme="minorHAnsi" w:cstheme="minorHAnsi"/>
          <w:color w:val="2E2929"/>
          <w:sz w:val="20"/>
          <w:lang w:val="es-ES"/>
        </w:rPr>
      </w:pPr>
    </w:p>
    <w:p w:rsidRPr="00685A4E" w:rsidR="002E4552" w:rsidP="00685A4E" w:rsidRDefault="0056483F" w14:paraId="7C36A89C" w14:textId="3FBC90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color w:val="2E2929"/>
          <w:sz w:val="20"/>
          <w:lang w:val="es-ES"/>
        </w:rPr>
        <w:t xml:space="preserve">Estudios de confirmación </w:t>
      </w:r>
      <w:r w:rsidRPr="00685A4E" w:rsidR="002E4552">
        <w:rPr>
          <w:rFonts w:eastAsia="Calibri" w:asciiTheme="minorHAnsi" w:hAnsiTheme="minorHAnsi" w:cstheme="minorHAnsi"/>
          <w:b/>
          <w:color w:val="2E2929"/>
          <w:sz w:val="20"/>
          <w:lang w:val="es-ES"/>
        </w:rPr>
        <w:t>CNV:</w:t>
      </w:r>
      <w:r w:rsidRPr="00685A4E" w:rsidR="00685A4E">
        <w:rPr>
          <w:rFonts w:eastAsia="Calibri" w:asciiTheme="minorHAnsi" w:hAnsiTheme="minorHAnsi" w:cstheme="minorHAnsi"/>
          <w:b/>
          <w:color w:val="2E2929"/>
          <w:sz w:val="20"/>
          <w:lang w:val="es-ES"/>
        </w:rPr>
        <w:t xml:space="preserve"> </w:t>
      </w:r>
      <w:r w:rsidRPr="00685A4E" w:rsidR="007703B1">
        <w:rPr>
          <w:rFonts w:eastAsia="Calibri" w:asciiTheme="minorHAnsi" w:hAnsiTheme="minorHAnsi" w:cstheme="minorHAnsi"/>
          <w:color w:val="2E2929"/>
          <w:sz w:val="20"/>
          <w:lang w:val="es-ES"/>
        </w:rPr>
        <w:t>Todos los CNV que se consideren relevantes deben confirmarse mediante secuenciación de Sanger, MLPA o PCR digital.</w:t>
      </w:r>
    </w:p>
    <w:p w:rsidRPr="00685A4E" w:rsidR="007703B1" w:rsidP="00685A4E" w:rsidRDefault="007703B1" w14:paraId="57EF58D7" w14:textId="77777777">
      <w:pPr>
        <w:autoSpaceDE w:val="0"/>
        <w:autoSpaceDN w:val="0"/>
        <w:adjustRightInd w:val="0"/>
        <w:jc w:val="both"/>
        <w:rPr>
          <w:rFonts w:eastAsia="Calibri" w:asciiTheme="minorHAnsi" w:hAnsiTheme="minorHAnsi" w:cstheme="minorHAnsi"/>
          <w:color w:val="2E2929"/>
          <w:sz w:val="20"/>
          <w:lang w:val="es-ES"/>
        </w:rPr>
      </w:pPr>
    </w:p>
    <w:p w:rsidRPr="00685A4E" w:rsidR="002E4552" w:rsidP="00685A4E" w:rsidRDefault="007703B1" w14:paraId="143006CD"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color w:val="2E2929"/>
          <w:sz w:val="20"/>
          <w:lang w:val="es-ES"/>
        </w:rPr>
        <w:t xml:space="preserve">Especificaciones analíticas de la prueba: </w:t>
      </w:r>
      <w:r w:rsidRPr="00685A4E">
        <w:rPr>
          <w:rFonts w:eastAsia="Calibri" w:asciiTheme="minorHAnsi" w:hAnsiTheme="minorHAnsi" w:cstheme="minorHAnsi"/>
          <w:color w:val="2E2929"/>
          <w:sz w:val="20"/>
          <w:lang w:val="es-ES"/>
        </w:rPr>
        <w:t>La sensibilidad analítica y la especificidad de esta prueba son superiores al 99 % para variantes de un solo nucleótido (SNV) y pequeñas inserciones/deleciones (INDEL) de ≤20 pb. La detección de CNV utilizando nuestra técnica de profundidad de lectura tiene valores de sensibilidad y VPP superiores al 99 % y al 96 %, respectivamente.</w:t>
      </w:r>
    </w:p>
    <w:p w:rsidRPr="00685A4E" w:rsidR="002E4552" w:rsidP="00685A4E" w:rsidRDefault="002E4552" w14:paraId="1181A005" w14:textId="77777777">
      <w:pPr>
        <w:autoSpaceDE w:val="0"/>
        <w:autoSpaceDN w:val="0"/>
        <w:adjustRightInd w:val="0"/>
        <w:jc w:val="both"/>
        <w:rPr>
          <w:rFonts w:eastAsia="Calibri" w:asciiTheme="minorHAnsi" w:hAnsiTheme="minorHAnsi" w:cstheme="minorHAnsi"/>
          <w:color w:val="2E2929"/>
          <w:sz w:val="20"/>
          <w:lang w:val="es-ES"/>
        </w:rPr>
      </w:pPr>
    </w:p>
    <w:p w:rsidRPr="00685A4E" w:rsidR="002E4552" w:rsidP="00685A4E" w:rsidRDefault="007703B1" w14:paraId="34E4A67A"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bCs/>
          <w:color w:val="2E2929"/>
          <w:sz w:val="20"/>
          <w:lang w:val="es-ES"/>
        </w:rPr>
        <w:t xml:space="preserve">Software de análisis y gestión de los estudios: </w:t>
      </w:r>
      <w:r w:rsidRPr="00685A4E">
        <w:rPr>
          <w:rFonts w:eastAsia="Calibri" w:asciiTheme="minorHAnsi" w:hAnsiTheme="minorHAnsi" w:cstheme="minorHAnsi"/>
          <w:color w:val="2E2929"/>
          <w:sz w:val="20"/>
          <w:lang w:val="es-ES"/>
        </w:rPr>
        <w:t xml:space="preserve">El registro de los estudios y la consulta de aspectos relacionados con la gestión de muestras están disponibles a través de la plataforma </w:t>
      </w:r>
      <w:proofErr w:type="spellStart"/>
      <w:r w:rsidRPr="00685A4E">
        <w:rPr>
          <w:rFonts w:eastAsia="Calibri" w:asciiTheme="minorHAnsi" w:hAnsiTheme="minorHAnsi" w:cstheme="minorHAnsi"/>
          <w:color w:val="2E2929"/>
          <w:sz w:val="20"/>
          <w:lang w:val="es-ES"/>
        </w:rPr>
        <w:t>ClientSite</w:t>
      </w:r>
      <w:proofErr w:type="spellEnd"/>
      <w:r w:rsidRPr="00685A4E">
        <w:rPr>
          <w:rFonts w:eastAsia="Calibri" w:asciiTheme="minorHAnsi" w:hAnsiTheme="minorHAnsi" w:cstheme="minorHAnsi"/>
          <w:color w:val="2E2929"/>
          <w:sz w:val="20"/>
          <w:lang w:val="es-ES"/>
        </w:rPr>
        <w:t xml:space="preserve"> (</w:t>
      </w:r>
      <w:proofErr w:type="spellStart"/>
      <w:r w:rsidRPr="00685A4E">
        <w:rPr>
          <w:rFonts w:eastAsia="Calibri" w:asciiTheme="minorHAnsi" w:hAnsiTheme="minorHAnsi" w:cstheme="minorHAnsi"/>
          <w:color w:val="2E2929"/>
          <w:sz w:val="20"/>
          <w:lang w:val="es-ES"/>
        </w:rPr>
        <w:t>healthincode</w:t>
      </w:r>
      <w:proofErr w:type="spellEnd"/>
      <w:r w:rsidRPr="00685A4E">
        <w:rPr>
          <w:rFonts w:eastAsia="Calibri" w:asciiTheme="minorHAnsi" w:hAnsiTheme="minorHAnsi" w:cstheme="minorHAnsi"/>
          <w:color w:val="2E2929"/>
          <w:sz w:val="20"/>
          <w:lang w:val="es-ES"/>
        </w:rPr>
        <w:t>) así como el análisis de los datos.</w:t>
      </w:r>
    </w:p>
    <w:p w:rsidRPr="00685A4E" w:rsidR="002E4552" w:rsidP="00685A4E" w:rsidRDefault="002E4552" w14:paraId="42D354D0" w14:textId="77777777">
      <w:pPr>
        <w:autoSpaceDE w:val="0"/>
        <w:autoSpaceDN w:val="0"/>
        <w:adjustRightInd w:val="0"/>
        <w:jc w:val="both"/>
        <w:rPr>
          <w:rFonts w:eastAsia="Calibri" w:asciiTheme="minorHAnsi" w:hAnsiTheme="minorHAnsi" w:cstheme="minorHAnsi"/>
          <w:color w:val="2E2929"/>
          <w:sz w:val="20"/>
          <w:lang w:val="es-ES"/>
        </w:rPr>
      </w:pPr>
    </w:p>
    <w:p w:rsidRPr="00685A4E" w:rsidR="007703B1" w:rsidP="00685A4E" w:rsidRDefault="007703B1" w14:paraId="406975C5"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color w:val="2E2929"/>
          <w:sz w:val="20"/>
          <w:lang w:val="es-ES"/>
        </w:rPr>
        <w:t xml:space="preserve">Limitaciones técnicas: </w:t>
      </w:r>
      <w:r w:rsidRPr="00685A4E">
        <w:rPr>
          <w:rFonts w:eastAsia="Calibri" w:asciiTheme="minorHAnsi" w:hAnsiTheme="minorHAnsi" w:cstheme="minorHAnsi"/>
          <w:color w:val="2E2929"/>
          <w:sz w:val="20"/>
          <w:lang w:val="es-ES"/>
        </w:rPr>
        <w:t xml:space="preserve">A pesar de la alta sensibilidad y especificidad de esta prueba, pueden ocurrir algunos errores de </w:t>
      </w:r>
      <w:proofErr w:type="spellStart"/>
      <w:r w:rsidRPr="00685A4E">
        <w:rPr>
          <w:rFonts w:eastAsia="Calibri" w:asciiTheme="minorHAnsi" w:hAnsiTheme="minorHAnsi" w:cstheme="minorHAnsi"/>
          <w:color w:val="2E2929"/>
          <w:sz w:val="20"/>
          <w:lang w:val="es-ES"/>
        </w:rPr>
        <w:t>genotipado</w:t>
      </w:r>
      <w:proofErr w:type="spellEnd"/>
      <w:r w:rsidRPr="00685A4E">
        <w:rPr>
          <w:rFonts w:eastAsia="Calibri" w:asciiTheme="minorHAnsi" w:hAnsiTheme="minorHAnsi" w:cstheme="minorHAnsi"/>
          <w:color w:val="2E2929"/>
          <w:sz w:val="20"/>
          <w:lang w:val="es-ES"/>
        </w:rPr>
        <w:t xml:space="preserve"> en situaciones específicas:</w:t>
      </w:r>
    </w:p>
    <w:p w:rsidRPr="00685A4E" w:rsidR="007703B1" w:rsidP="00685A4E" w:rsidRDefault="007703B1" w14:paraId="28D7E7FA" w14:textId="77777777">
      <w:pPr>
        <w:autoSpaceDE w:val="0"/>
        <w:autoSpaceDN w:val="0"/>
        <w:adjustRightInd w:val="0"/>
        <w:jc w:val="both"/>
        <w:rPr>
          <w:rFonts w:eastAsia="Calibri" w:asciiTheme="minorHAnsi" w:hAnsiTheme="minorHAnsi" w:cstheme="minorHAnsi"/>
          <w:color w:val="2E2929"/>
          <w:sz w:val="20"/>
          <w:lang w:val="es-ES"/>
        </w:rPr>
      </w:pPr>
    </w:p>
    <w:p w:rsidRPr="00685A4E" w:rsidR="007703B1" w:rsidP="00685A4E" w:rsidRDefault="007703B1" w14:paraId="7DEB1A63"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Contaminación de las muestras antes de que lleguen a nuestro laboratorio</w:t>
      </w:r>
    </w:p>
    <w:p w:rsidRPr="00685A4E" w:rsidR="007703B1" w:rsidP="00685A4E" w:rsidRDefault="007703B1" w14:paraId="3F604D7D"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Mosaico y variantes somáticas. Es posible que bioinformática no identifique variantes con MAF</w:t>
      </w:r>
    </w:p>
    <w:p w:rsidRPr="00685A4E" w:rsidR="007703B1" w:rsidP="00685A4E" w:rsidRDefault="007703B1" w14:paraId="6C898242"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Monosomías y trisomías</w:t>
      </w:r>
    </w:p>
    <w:p w:rsidRPr="00685A4E" w:rsidR="007703B1" w:rsidP="00685A4E" w:rsidRDefault="007703B1" w14:paraId="7257139C"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Problemas genéticos de paternidad</w:t>
      </w:r>
    </w:p>
    <w:p w:rsidRPr="00685A4E" w:rsidR="007703B1" w:rsidP="00685A4E" w:rsidRDefault="007703B1" w14:paraId="11984EC5"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Variantes genéticas que producen abandonos alélicos</w:t>
      </w:r>
    </w:p>
    <w:p w:rsidRPr="00685A4E" w:rsidR="007703B1" w:rsidP="00685A4E" w:rsidRDefault="007703B1" w14:paraId="1B12A23A"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Estudios realizados en tejidos incluidos en parafina</w:t>
      </w:r>
    </w:p>
    <w:p w:rsidRPr="00685A4E" w:rsidR="007703B1" w:rsidP="00685A4E" w:rsidRDefault="007703B1" w14:paraId="34E64990"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 Presencia de </w:t>
      </w:r>
      <w:proofErr w:type="spellStart"/>
      <w:r w:rsidRPr="00685A4E">
        <w:rPr>
          <w:rFonts w:eastAsia="Calibri" w:asciiTheme="minorHAnsi" w:hAnsiTheme="minorHAnsi" w:cstheme="minorHAnsi"/>
          <w:color w:val="2E2929"/>
          <w:sz w:val="20"/>
          <w:lang w:val="es-ES"/>
        </w:rPr>
        <w:t>pseudogenes</w:t>
      </w:r>
      <w:proofErr w:type="spellEnd"/>
      <w:r w:rsidRPr="00685A4E">
        <w:rPr>
          <w:rFonts w:eastAsia="Calibri" w:asciiTheme="minorHAnsi" w:hAnsiTheme="minorHAnsi" w:cstheme="minorHAnsi"/>
          <w:color w:val="2E2929"/>
          <w:sz w:val="20"/>
          <w:lang w:val="es-ES"/>
        </w:rPr>
        <w:t xml:space="preserve"> o regiones homólogas</w:t>
      </w:r>
    </w:p>
    <w:p w:rsidRPr="00685A4E" w:rsidR="007703B1" w:rsidP="00685A4E" w:rsidRDefault="007703B1" w14:paraId="01A0DF86"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Presencia de reordenamientos cromosómicos complejos, translocaciones equilibradas e inversiones.</w:t>
      </w:r>
    </w:p>
    <w:p w:rsidRPr="00685A4E" w:rsidR="007703B1" w:rsidP="00685A4E" w:rsidRDefault="007703B1" w14:paraId="13ABD2BA"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Identificación incorrecta de variantes en zonas de homopolímero o alto contenido de GC</w:t>
      </w:r>
    </w:p>
    <w:p w:rsidRPr="00685A4E" w:rsidR="007703B1" w:rsidP="00685A4E" w:rsidRDefault="007703B1" w14:paraId="41BFE224" w14:textId="77777777">
      <w:pPr>
        <w:autoSpaceDE w:val="0"/>
        <w:autoSpaceDN w:val="0"/>
        <w:adjustRightInd w:val="0"/>
        <w:ind w:left="708"/>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Errores en la secuencia de referencia</w:t>
      </w:r>
    </w:p>
    <w:p w:rsidRPr="00685A4E" w:rsidR="007703B1" w:rsidP="00685A4E" w:rsidRDefault="007703B1" w14:paraId="795369BC" w14:textId="77777777">
      <w:pPr>
        <w:autoSpaceDE w:val="0"/>
        <w:autoSpaceDN w:val="0"/>
        <w:adjustRightInd w:val="0"/>
        <w:jc w:val="both"/>
        <w:rPr>
          <w:rFonts w:eastAsia="Calibri" w:asciiTheme="minorHAnsi" w:hAnsiTheme="minorHAnsi" w:cstheme="minorHAnsi"/>
          <w:color w:val="2E2929"/>
          <w:sz w:val="20"/>
          <w:lang w:val="es-ES"/>
        </w:rPr>
      </w:pPr>
    </w:p>
    <w:p w:rsidRPr="00685A4E" w:rsidR="002E4552" w:rsidP="00685A4E" w:rsidRDefault="007703B1" w14:paraId="100C53FA"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Este estudio generalmente no puede identificar la fase (alelos iguales/diferentes) de más de una variante que afecta al mismo gen. Esta limitación debe considerarse en casos de trastornos recesivos, que ocurren solo cuando ambos alelos están mutados.</w:t>
      </w:r>
    </w:p>
    <w:p w:rsidRPr="00685A4E" w:rsidR="002E4552" w:rsidP="00685A4E" w:rsidRDefault="002E4552" w14:paraId="43FE48E7" w14:textId="77777777">
      <w:pPr>
        <w:autoSpaceDE w:val="0"/>
        <w:autoSpaceDN w:val="0"/>
        <w:adjustRightInd w:val="0"/>
        <w:jc w:val="both"/>
        <w:rPr>
          <w:rFonts w:eastAsia="Calibri" w:asciiTheme="minorHAnsi" w:hAnsiTheme="minorHAnsi" w:cstheme="minorHAnsi"/>
          <w:color w:val="2E2929"/>
          <w:sz w:val="20"/>
          <w:lang w:val="es-ES"/>
        </w:rPr>
      </w:pPr>
    </w:p>
    <w:p w:rsidRPr="00685A4E" w:rsidR="00E77EE9" w:rsidP="00685A4E" w:rsidRDefault="007703B1" w14:paraId="0D3FB0C5"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b/>
          <w:color w:val="2E2929"/>
          <w:sz w:val="20"/>
          <w:lang w:val="es-ES"/>
        </w:rPr>
        <w:t xml:space="preserve">Trazabilidad inequívoca: </w:t>
      </w:r>
      <w:r w:rsidRPr="00685A4E">
        <w:rPr>
          <w:rFonts w:eastAsia="Calibri" w:asciiTheme="minorHAnsi" w:hAnsiTheme="minorHAnsi" w:cstheme="minorHAnsi"/>
          <w:color w:val="2E2929"/>
          <w:sz w:val="20"/>
          <w:lang w:val="es-ES"/>
        </w:rPr>
        <w:t xml:space="preserve">Nuestro software desarrollado internamente, </w:t>
      </w:r>
      <w:proofErr w:type="spellStart"/>
      <w:r w:rsidRPr="00685A4E">
        <w:rPr>
          <w:rFonts w:eastAsia="Calibri" w:asciiTheme="minorHAnsi" w:hAnsiTheme="minorHAnsi" w:cstheme="minorHAnsi"/>
          <w:color w:val="2E2929"/>
          <w:sz w:val="20"/>
          <w:lang w:val="es-ES"/>
        </w:rPr>
        <w:t>NextLIMS</w:t>
      </w:r>
      <w:proofErr w:type="spellEnd"/>
      <w:r w:rsidRPr="00685A4E">
        <w:rPr>
          <w:rFonts w:eastAsia="Calibri" w:asciiTheme="minorHAnsi" w:hAnsiTheme="minorHAnsi" w:cstheme="minorHAnsi"/>
          <w:color w:val="2E2929"/>
          <w:sz w:val="20"/>
          <w:lang w:val="es-ES"/>
        </w:rPr>
        <w:t>, identifica y rastrea de manera eficiente las muestras en el laboratorio y nos permite rastrear inequívocamente los pasos por los que ya ha pasado una muestra. Sin embargo, no podemos responsabilizarnos por errores de etiquetado en muestras que ocurran antes de que lleguen a nuestras instalaciones.</w:t>
      </w:r>
    </w:p>
    <w:p w:rsidRPr="00685A4E" w:rsidR="0050160C" w:rsidP="00685A4E" w:rsidRDefault="0050160C" w14:paraId="5F6D29CA" w14:textId="77777777">
      <w:pPr>
        <w:autoSpaceDE w:val="0"/>
        <w:autoSpaceDN w:val="0"/>
        <w:adjustRightInd w:val="0"/>
        <w:jc w:val="both"/>
        <w:rPr>
          <w:rFonts w:eastAsia="Calibri" w:asciiTheme="minorHAnsi" w:hAnsiTheme="minorHAnsi" w:cstheme="minorHAnsi"/>
          <w:color w:val="2E2929"/>
          <w:sz w:val="20"/>
          <w:lang w:val="es-ES"/>
        </w:rPr>
      </w:pPr>
    </w:p>
    <w:tbl>
      <w:tblPr>
        <w:tblW w:w="8715" w:type="dxa"/>
        <w:tblCellMar>
          <w:left w:w="70" w:type="dxa"/>
          <w:right w:w="70" w:type="dxa"/>
        </w:tblCellMar>
        <w:tblLook w:val="04A0" w:firstRow="1" w:lastRow="0" w:firstColumn="1" w:lastColumn="0" w:noHBand="0" w:noVBand="1"/>
      </w:tblPr>
      <w:tblGrid>
        <w:gridCol w:w="2008"/>
        <w:gridCol w:w="479"/>
        <w:gridCol w:w="479"/>
        <w:gridCol w:w="479"/>
        <w:gridCol w:w="479"/>
        <w:gridCol w:w="479"/>
        <w:gridCol w:w="420"/>
        <w:gridCol w:w="539"/>
        <w:gridCol w:w="479"/>
        <w:gridCol w:w="479"/>
        <w:gridCol w:w="479"/>
        <w:gridCol w:w="479"/>
        <w:gridCol w:w="479"/>
        <w:gridCol w:w="479"/>
        <w:gridCol w:w="479"/>
      </w:tblGrid>
      <w:tr w:rsidRPr="004B1CA8" w:rsidR="0050160C" w:rsidTr="369099F8" w14:paraId="65218750" w14:textId="77777777">
        <w:tc>
          <w:p w14:paraId="10D2B74F"/>
        </w:tc>
        <w:trPr>
          <w:trHeight w:val="260"/>
        </w:trPr>
        <w:tc>
          <w:tcPr>
            <w:tcW w:w="958" w:type="dxa"/>
            <w:gridSpan w:val="2"/>
            <w:tcBorders>
              <w:top w:val="single" w:color="auto" w:sz="8"/>
              <w:left w:val="single" w:color="auto" w:sz="8"/>
              <w:bottom w:val="nil"/>
              <w:right w:val="nil"/>
            </w:tcBorders>
            <w:shd w:val="clear" w:color="auto" w:fill="D6DCE4"/>
            <w:noWrap/>
            <w:tcMar/>
            <w:vAlign w:val="bottom"/>
            <w:hideMark/>
          </w:tcPr>
          <w:p w:rsidR="6FA50564" w:rsidP="369099F8" w:rsidRDefault="6FA50564" w14:paraId="04E60361" w14:textId="0A19D5C1">
            <w:pPr>
              <w:pStyle w:val="Normal"/>
              <w:suppressLineNumbers w:val="0"/>
              <w:bidi w:val="0"/>
              <w:spacing w:before="0" w:beforeAutospacing="off" w:after="0" w:afterAutospacing="off" w:line="259" w:lineRule="auto"/>
              <w:ind w:left="0" w:right="0"/>
              <w:jc w:val="center"/>
            </w:pPr>
            <w:r w:rsidRPr="369099F8" w:rsidR="6FA50564">
              <w:rPr>
                <w:rFonts w:ascii="Calibri" w:hAnsi="Calibri" w:cs="Calibri" w:asciiTheme="minorAscii" w:hAnsiTheme="minorAscii" w:cstheme="minorAscii"/>
                <w:color w:val="000000" w:themeColor="text1" w:themeTint="FF" w:themeShade="FF"/>
                <w:sz w:val="16"/>
                <w:szCs w:val="16"/>
                <w:lang w:val="es-ES"/>
              </w:rPr>
              <w:t>2023</w:t>
            </w:r>
          </w:p>
        </w:tc>
        <w:tc>
          <w:tcPr>
            <w:tcW w:w="5749" w:type="dxa"/>
            <w:gridSpan w:val="12"/>
            <w:tcBorders>
              <w:top w:val="single" w:color="auto" w:sz="8" w:space="0"/>
              <w:left w:val="nil"/>
              <w:bottom w:val="nil"/>
              <w:right w:val="single" w:color="000000" w:themeColor="text1" w:sz="8" w:space="0"/>
            </w:tcBorders>
            <w:shd w:val="clear" w:color="auto" w:fill="E2EFDA"/>
            <w:noWrap/>
            <w:tcMar/>
            <w:vAlign w:val="bottom"/>
            <w:hideMark/>
          </w:tcPr>
          <w:p w:rsidRPr="004B1CA8" w:rsidR="0050160C" w:rsidP="00685A4E" w:rsidRDefault="0050160C" w14:paraId="746BC2EA" w14:textId="5A0E0C52">
            <w:pPr>
              <w:jc w:val="cente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202</w:t>
            </w:r>
            <w:r w:rsidRPr="004B1CA8" w:rsidR="00685A4E">
              <w:rPr>
                <w:rFonts w:asciiTheme="minorHAnsi" w:hAnsiTheme="minorHAnsi" w:cstheme="minorHAnsi"/>
                <w:color w:val="000000"/>
                <w:sz w:val="16"/>
                <w:szCs w:val="16"/>
                <w:lang w:val="es-ES"/>
              </w:rPr>
              <w:t>4</w:t>
            </w:r>
          </w:p>
        </w:tc>
      </w:tr>
      <w:tr w:rsidRPr="004B1CA8" w:rsidR="009B03CB" w:rsidTr="369099F8" w14:paraId="3843DBF6" w14:textId="77777777">
        <w:trPr>
          <w:trHeight w:val="260"/>
        </w:trPr>
        <w:tc>
          <w:tcPr>
            <w:tcW w:w="2008"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4B1CA8" w:rsidR="0050160C" w:rsidP="00685A4E" w:rsidRDefault="0050160C" w14:paraId="5250EF17"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Tareas</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7072BB77"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Nov</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7C8EC2DB"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Dic</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0BD64ADE"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Ene</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3702CB24"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Feb</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0137E92B"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Mar</w:t>
            </w:r>
          </w:p>
        </w:tc>
        <w:tc>
          <w:tcPr>
            <w:tcW w:w="420"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58F8B5DD"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Abr</w:t>
            </w:r>
          </w:p>
        </w:tc>
        <w:tc>
          <w:tcPr>
            <w:tcW w:w="53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369099F8" w:rsidRDefault="0050160C" w14:paraId="5865D5AC" w14:textId="0E37558A">
            <w:pPr>
              <w:rPr>
                <w:rFonts w:ascii="Calibri" w:hAnsi="Calibri" w:cs="Calibri" w:asciiTheme="minorAscii" w:hAnsiTheme="minorAscii" w:cstheme="minorAscii"/>
                <w:b w:val="1"/>
                <w:bCs w:val="1"/>
                <w:color w:val="000000"/>
                <w:sz w:val="16"/>
                <w:szCs w:val="16"/>
                <w:lang w:val="es-ES"/>
              </w:rPr>
            </w:pPr>
            <w:r w:rsidRPr="369099F8" w:rsidR="0050160C">
              <w:rPr>
                <w:rFonts w:ascii="Calibri" w:hAnsi="Calibri" w:cs="Calibri" w:asciiTheme="minorAscii" w:hAnsiTheme="minorAscii" w:cstheme="minorAscii"/>
                <w:b w:val="1"/>
                <w:bCs w:val="1"/>
                <w:color w:val="000000" w:themeColor="text1" w:themeTint="FF" w:themeShade="FF"/>
                <w:sz w:val="16"/>
                <w:szCs w:val="16"/>
                <w:lang w:val="es-ES"/>
              </w:rPr>
              <w:t>Ma</w:t>
            </w:r>
            <w:r w:rsidRPr="369099F8" w:rsidR="6919CA29">
              <w:rPr>
                <w:rFonts w:ascii="Calibri" w:hAnsi="Calibri" w:cs="Calibri" w:asciiTheme="minorAscii" w:hAnsiTheme="minorAscii" w:cstheme="minorAscii"/>
                <w:b w:val="1"/>
                <w:bCs w:val="1"/>
                <w:color w:val="000000" w:themeColor="text1" w:themeTint="FF" w:themeShade="FF"/>
                <w:sz w:val="16"/>
                <w:szCs w:val="16"/>
                <w:lang w:val="es-ES"/>
              </w:rPr>
              <w:t>y</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55C30C7D"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Jun</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36C2EB8E"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Jul</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6ED37FC0" w14:textId="77777777">
            <w:pPr>
              <w:rPr>
                <w:rFonts w:asciiTheme="minorHAnsi" w:hAnsiTheme="minorHAnsi" w:cstheme="minorHAnsi"/>
                <w:b/>
                <w:bCs/>
                <w:color w:val="000000"/>
                <w:sz w:val="16"/>
                <w:szCs w:val="16"/>
                <w:lang w:val="es-ES"/>
              </w:rPr>
            </w:pPr>
            <w:proofErr w:type="spellStart"/>
            <w:r w:rsidRPr="004B1CA8">
              <w:rPr>
                <w:rFonts w:asciiTheme="minorHAnsi" w:hAnsiTheme="minorHAnsi" w:cstheme="minorHAnsi"/>
                <w:b/>
                <w:bCs/>
                <w:color w:val="000000"/>
                <w:sz w:val="16"/>
                <w:szCs w:val="16"/>
                <w:lang w:val="es-ES"/>
              </w:rPr>
              <w:t>Ago</w:t>
            </w:r>
            <w:proofErr w:type="spellEnd"/>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42D8C86F" w14:textId="77777777">
            <w:pPr>
              <w:rPr>
                <w:rFonts w:asciiTheme="minorHAnsi" w:hAnsiTheme="minorHAnsi" w:cstheme="minorHAnsi"/>
                <w:b/>
                <w:bCs/>
                <w:color w:val="000000"/>
                <w:sz w:val="16"/>
                <w:szCs w:val="16"/>
                <w:lang w:val="es-ES"/>
              </w:rPr>
            </w:pPr>
            <w:proofErr w:type="spellStart"/>
            <w:r w:rsidRPr="004B1CA8">
              <w:rPr>
                <w:rFonts w:asciiTheme="minorHAnsi" w:hAnsiTheme="minorHAnsi" w:cstheme="minorHAnsi"/>
                <w:b/>
                <w:bCs/>
                <w:color w:val="000000"/>
                <w:sz w:val="16"/>
                <w:szCs w:val="16"/>
                <w:lang w:val="es-ES"/>
              </w:rPr>
              <w:t>Sep</w:t>
            </w:r>
            <w:proofErr w:type="spellEnd"/>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118E2285"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Oct</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14CEF3C7"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Nov</w:t>
            </w:r>
          </w:p>
        </w:tc>
        <w:tc>
          <w:tcPr>
            <w:tcW w:w="479" w:type="dxa"/>
            <w:tcBorders>
              <w:top w:val="single" w:color="auto" w:sz="4" w:space="0"/>
              <w:left w:val="nil"/>
              <w:bottom w:val="single" w:color="auto" w:sz="4" w:space="0"/>
              <w:right w:val="single" w:color="auto" w:sz="4" w:space="0"/>
            </w:tcBorders>
            <w:shd w:val="clear" w:color="auto" w:fill="auto"/>
            <w:noWrap/>
            <w:tcMar/>
            <w:vAlign w:val="bottom"/>
            <w:hideMark/>
          </w:tcPr>
          <w:p w:rsidRPr="004B1CA8" w:rsidR="0050160C" w:rsidP="00685A4E" w:rsidRDefault="0050160C" w14:paraId="626ADA41"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Dic</w:t>
            </w:r>
          </w:p>
        </w:tc>
      </w:tr>
      <w:tr w:rsidRPr="00685A4E" w:rsidR="00685A4E" w:rsidTr="369099F8" w14:paraId="7FB0B658" w14:textId="77777777">
        <w:trPr>
          <w:trHeight w:val="260"/>
        </w:trPr>
        <w:tc>
          <w:tcPr>
            <w:tcW w:w="2008" w:type="dxa"/>
            <w:tcBorders>
              <w:top w:val="nil"/>
              <w:left w:val="single" w:color="auto" w:sz="4" w:space="0"/>
              <w:bottom w:val="single" w:color="auto" w:sz="4" w:space="0"/>
              <w:right w:val="single" w:color="auto" w:sz="4" w:space="0"/>
            </w:tcBorders>
            <w:shd w:val="clear" w:color="auto" w:fill="BDD7EE"/>
            <w:noWrap/>
            <w:tcMar/>
            <w:vAlign w:val="bottom"/>
            <w:hideMark/>
          </w:tcPr>
          <w:p w:rsidRPr="004B1CA8" w:rsidR="0050160C" w:rsidP="00685A4E" w:rsidRDefault="0050160C" w14:paraId="1E5A38DF" w14:textId="67FB8878">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 xml:space="preserve">Fase de </w:t>
            </w:r>
            <w:r w:rsidRPr="004B1CA8" w:rsidR="00685A4E">
              <w:rPr>
                <w:rFonts w:asciiTheme="minorHAnsi" w:hAnsiTheme="minorHAnsi" w:cstheme="minorHAnsi"/>
                <w:b/>
                <w:bCs/>
                <w:color w:val="000000"/>
                <w:sz w:val="16"/>
                <w:szCs w:val="16"/>
                <w:lang w:val="es-ES"/>
              </w:rPr>
              <w:t>reclutamiento</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18695ABA"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1CCA57EE"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199C0E72"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12E2DBBF"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2414E7EF"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20"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5112827B"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53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4E248D89"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6B56AD57"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7744C402"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24208607"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0EC2736B"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54D27E2D"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2A3F67EE"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BDD7EE"/>
            <w:noWrap/>
            <w:tcMar/>
            <w:vAlign w:val="bottom"/>
            <w:hideMark/>
          </w:tcPr>
          <w:p w:rsidRPr="004B1CA8" w:rsidR="0050160C" w:rsidP="00685A4E" w:rsidRDefault="0050160C" w14:paraId="5D82D84C"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r>
      <w:tr w:rsidRPr="00685A4E" w:rsidR="00685A4E" w:rsidTr="369099F8" w14:paraId="54E61F48" w14:textId="77777777">
        <w:trPr>
          <w:trHeight w:val="260"/>
        </w:trPr>
        <w:tc>
          <w:tcPr>
            <w:tcW w:w="2008" w:type="dxa"/>
            <w:tcBorders>
              <w:top w:val="nil"/>
              <w:left w:val="single" w:color="auto" w:sz="4" w:space="0"/>
              <w:bottom w:val="single" w:color="auto" w:sz="4" w:space="0"/>
              <w:right w:val="single" w:color="auto" w:sz="4" w:space="0"/>
            </w:tcBorders>
            <w:shd w:val="clear" w:color="auto" w:fill="F8CBAD"/>
            <w:noWrap/>
            <w:tcMar/>
            <w:vAlign w:val="bottom"/>
            <w:hideMark/>
          </w:tcPr>
          <w:p w:rsidRPr="004B1CA8" w:rsidR="0050160C" w:rsidP="00685A4E" w:rsidRDefault="0050160C" w14:paraId="39504CE6"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Fase de secuenciación</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727EC0EF"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03BC97A0"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75117FE8"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3B64DC9F"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2770849F"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20"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229C9ED5"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53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6D860766"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49D6D2D5"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51631C1B"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623A12C5"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68EEFD09"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336E2A92"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2463F6E3"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8CBAD"/>
            <w:noWrap/>
            <w:tcMar/>
            <w:vAlign w:val="bottom"/>
            <w:hideMark/>
          </w:tcPr>
          <w:p w:rsidRPr="004B1CA8" w:rsidR="0050160C" w:rsidP="00685A4E" w:rsidRDefault="0050160C" w14:paraId="2A031FC2"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r>
      <w:tr w:rsidRPr="00685A4E" w:rsidR="00685A4E" w:rsidTr="369099F8" w14:paraId="1BC16B08" w14:textId="77777777">
        <w:trPr>
          <w:trHeight w:val="260"/>
        </w:trPr>
        <w:tc>
          <w:tcPr>
            <w:tcW w:w="2008" w:type="dxa"/>
            <w:tcBorders>
              <w:top w:val="nil"/>
              <w:left w:val="single" w:color="auto" w:sz="4" w:space="0"/>
              <w:bottom w:val="single" w:color="auto" w:sz="4" w:space="0"/>
              <w:right w:val="single" w:color="auto" w:sz="4" w:space="0"/>
            </w:tcBorders>
            <w:shd w:val="clear" w:color="auto" w:fill="FFE699"/>
            <w:noWrap/>
            <w:tcMar/>
            <w:vAlign w:val="bottom"/>
            <w:hideMark/>
          </w:tcPr>
          <w:p w:rsidRPr="004B1CA8" w:rsidR="0050160C" w:rsidP="00685A4E" w:rsidRDefault="0050160C" w14:paraId="1B4AE3C7"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Resultados e interpretación</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3A7BD61A"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3BD18082"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6F3BC5A1"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6319997D"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68222EBE"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20"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0268232B"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53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7019CA90"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287CDB05"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58EB1E2A"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4EF118CF"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12519817"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5F446A7E"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5EB65031"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E699"/>
            <w:noWrap/>
            <w:tcMar/>
            <w:vAlign w:val="bottom"/>
            <w:hideMark/>
          </w:tcPr>
          <w:p w:rsidRPr="004B1CA8" w:rsidR="0050160C" w:rsidP="00685A4E" w:rsidRDefault="0050160C" w14:paraId="132F61A3"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r>
      <w:tr w:rsidRPr="00685A4E" w:rsidR="00685A4E" w:rsidTr="369099F8" w14:paraId="0208A5E9" w14:textId="77777777">
        <w:trPr>
          <w:trHeight w:val="260"/>
        </w:trPr>
        <w:tc>
          <w:tcPr>
            <w:tcW w:w="2008" w:type="dxa"/>
            <w:tcBorders>
              <w:top w:val="nil"/>
              <w:left w:val="single" w:color="auto" w:sz="4" w:space="0"/>
              <w:bottom w:val="single" w:color="auto" w:sz="4" w:space="0"/>
              <w:right w:val="single" w:color="auto" w:sz="4" w:space="0"/>
            </w:tcBorders>
            <w:shd w:val="clear" w:color="auto" w:fill="C9C9C9"/>
            <w:noWrap/>
            <w:tcMar/>
            <w:vAlign w:val="bottom"/>
            <w:hideMark/>
          </w:tcPr>
          <w:p w:rsidRPr="004B1CA8" w:rsidR="0050160C" w:rsidP="00685A4E" w:rsidRDefault="0050160C" w14:paraId="6633C9F3" w14:textId="77777777">
            <w:pPr>
              <w:rPr>
                <w:rFonts w:asciiTheme="minorHAnsi" w:hAnsiTheme="minorHAnsi" w:cstheme="minorHAnsi"/>
                <w:b/>
                <w:bCs/>
                <w:color w:val="000000"/>
                <w:sz w:val="16"/>
                <w:szCs w:val="16"/>
                <w:lang w:val="es-ES"/>
              </w:rPr>
            </w:pPr>
            <w:r w:rsidRPr="004B1CA8">
              <w:rPr>
                <w:rFonts w:asciiTheme="minorHAnsi" w:hAnsiTheme="minorHAnsi" w:cstheme="minorHAnsi"/>
                <w:b/>
                <w:bCs/>
                <w:color w:val="000000"/>
                <w:sz w:val="16"/>
                <w:szCs w:val="16"/>
                <w:lang w:val="es-ES"/>
              </w:rPr>
              <w:t>Redacción de manuscritos</w:t>
            </w:r>
          </w:p>
        </w:tc>
        <w:tc>
          <w:tcPr>
            <w:tcW w:w="479" w:type="dxa"/>
            <w:tcBorders>
              <w:top w:val="nil"/>
              <w:left w:val="nil"/>
              <w:bottom w:val="single" w:color="auto" w:sz="4" w:space="0"/>
              <w:right w:val="single" w:color="auto" w:sz="4" w:space="0"/>
            </w:tcBorders>
            <w:shd w:val="clear" w:color="auto" w:fill="FFFFFF" w:themeFill="background1"/>
            <w:noWrap/>
            <w:tcMar/>
            <w:vAlign w:val="bottom"/>
            <w:hideMark/>
          </w:tcPr>
          <w:p w:rsidRPr="004B1CA8" w:rsidR="0050160C" w:rsidP="00685A4E" w:rsidRDefault="0050160C" w14:paraId="27C46DCF"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FFFF" w:themeFill="background1"/>
            <w:noWrap/>
            <w:tcMar/>
            <w:vAlign w:val="bottom"/>
            <w:hideMark/>
          </w:tcPr>
          <w:p w:rsidRPr="004B1CA8" w:rsidR="0050160C" w:rsidP="00685A4E" w:rsidRDefault="0050160C" w14:paraId="35B558A5"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FFFF" w:themeFill="background1"/>
            <w:noWrap/>
            <w:tcMar/>
            <w:vAlign w:val="bottom"/>
            <w:hideMark/>
          </w:tcPr>
          <w:p w:rsidRPr="004B1CA8" w:rsidR="0050160C" w:rsidP="00685A4E" w:rsidRDefault="0050160C" w14:paraId="09167F7F"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FFFF" w:themeFill="background1"/>
            <w:noWrap/>
            <w:tcMar/>
            <w:vAlign w:val="bottom"/>
            <w:hideMark/>
          </w:tcPr>
          <w:p w:rsidRPr="004B1CA8" w:rsidR="0050160C" w:rsidP="00685A4E" w:rsidRDefault="0050160C" w14:paraId="3F25DE8A"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FFFF" w:themeFill="background1"/>
            <w:noWrap/>
            <w:tcMar/>
            <w:vAlign w:val="bottom"/>
            <w:hideMark/>
          </w:tcPr>
          <w:p w:rsidRPr="004B1CA8" w:rsidR="0050160C" w:rsidP="00685A4E" w:rsidRDefault="0050160C" w14:paraId="2AD71ED7"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20" w:type="dxa"/>
            <w:tcBorders>
              <w:top w:val="nil"/>
              <w:left w:val="nil"/>
              <w:bottom w:val="single" w:color="auto" w:sz="4" w:space="0"/>
              <w:right w:val="single" w:color="auto" w:sz="4" w:space="0"/>
            </w:tcBorders>
            <w:shd w:val="clear" w:color="auto" w:fill="FFFFFF" w:themeFill="background1"/>
            <w:noWrap/>
            <w:tcMar/>
            <w:vAlign w:val="bottom"/>
            <w:hideMark/>
          </w:tcPr>
          <w:p w:rsidRPr="004B1CA8" w:rsidR="0050160C" w:rsidP="00685A4E" w:rsidRDefault="0050160C" w14:paraId="19C6D541"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539" w:type="dxa"/>
            <w:tcBorders>
              <w:top w:val="nil"/>
              <w:left w:val="nil"/>
              <w:bottom w:val="single" w:color="auto" w:sz="4" w:space="0"/>
              <w:right w:val="single" w:color="auto" w:sz="4" w:space="0"/>
            </w:tcBorders>
            <w:shd w:val="clear" w:color="auto" w:fill="FFFFFF" w:themeFill="background1"/>
            <w:noWrap/>
            <w:tcMar/>
            <w:vAlign w:val="bottom"/>
            <w:hideMark/>
          </w:tcPr>
          <w:p w:rsidRPr="004B1CA8" w:rsidR="0050160C" w:rsidP="00685A4E" w:rsidRDefault="0050160C" w14:paraId="7BEFEC76"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FFFFFF" w:themeFill="background1"/>
            <w:noWrap/>
            <w:tcMar/>
            <w:vAlign w:val="bottom"/>
            <w:hideMark/>
          </w:tcPr>
          <w:p w:rsidRPr="004B1CA8" w:rsidR="0050160C" w:rsidP="00685A4E" w:rsidRDefault="0050160C" w14:paraId="3E4F6081"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C9C9C9"/>
            <w:noWrap/>
            <w:tcMar/>
            <w:vAlign w:val="bottom"/>
            <w:hideMark/>
          </w:tcPr>
          <w:p w:rsidRPr="004B1CA8" w:rsidR="0050160C" w:rsidP="00685A4E" w:rsidRDefault="0050160C" w14:paraId="06361599"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C9C9C9"/>
            <w:noWrap/>
            <w:tcMar/>
            <w:vAlign w:val="bottom"/>
            <w:hideMark/>
          </w:tcPr>
          <w:p w:rsidRPr="004B1CA8" w:rsidR="0050160C" w:rsidP="00685A4E" w:rsidRDefault="0050160C" w14:paraId="63E7552A"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C9C9C9"/>
            <w:noWrap/>
            <w:tcMar/>
            <w:vAlign w:val="bottom"/>
            <w:hideMark/>
          </w:tcPr>
          <w:p w:rsidRPr="004B1CA8" w:rsidR="0050160C" w:rsidP="00685A4E" w:rsidRDefault="0050160C" w14:paraId="3CBB0A25"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C9C9C9"/>
            <w:noWrap/>
            <w:tcMar/>
            <w:vAlign w:val="bottom"/>
            <w:hideMark/>
          </w:tcPr>
          <w:p w:rsidRPr="004B1CA8" w:rsidR="0050160C" w:rsidP="00685A4E" w:rsidRDefault="0050160C" w14:paraId="6E80F7C5"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C9C9C9"/>
            <w:noWrap/>
            <w:tcMar/>
            <w:vAlign w:val="bottom"/>
            <w:hideMark/>
          </w:tcPr>
          <w:p w:rsidRPr="004B1CA8" w:rsidR="0050160C" w:rsidP="00685A4E" w:rsidRDefault="0050160C" w14:paraId="64AE2199"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c>
          <w:tcPr>
            <w:tcW w:w="479" w:type="dxa"/>
            <w:tcBorders>
              <w:top w:val="nil"/>
              <w:left w:val="nil"/>
              <w:bottom w:val="single" w:color="auto" w:sz="4" w:space="0"/>
              <w:right w:val="single" w:color="auto" w:sz="4" w:space="0"/>
            </w:tcBorders>
            <w:shd w:val="clear" w:color="auto" w:fill="C9C9C9"/>
            <w:noWrap/>
            <w:tcMar/>
            <w:vAlign w:val="bottom"/>
            <w:hideMark/>
          </w:tcPr>
          <w:p w:rsidRPr="004B1CA8" w:rsidR="0050160C" w:rsidP="00685A4E" w:rsidRDefault="0050160C" w14:paraId="074BCD1E" w14:textId="77777777">
            <w:pPr>
              <w:rPr>
                <w:rFonts w:asciiTheme="minorHAnsi" w:hAnsiTheme="minorHAnsi" w:cstheme="minorHAnsi"/>
                <w:color w:val="000000"/>
                <w:sz w:val="16"/>
                <w:szCs w:val="16"/>
                <w:lang w:val="es-ES"/>
              </w:rPr>
            </w:pPr>
            <w:r w:rsidRPr="004B1CA8">
              <w:rPr>
                <w:rFonts w:asciiTheme="minorHAnsi" w:hAnsiTheme="minorHAnsi" w:cstheme="minorHAnsi"/>
                <w:color w:val="000000"/>
                <w:sz w:val="16"/>
                <w:szCs w:val="16"/>
                <w:lang w:val="es-ES"/>
              </w:rPr>
              <w:t> </w:t>
            </w:r>
          </w:p>
        </w:tc>
      </w:tr>
    </w:tbl>
    <w:p w:rsidRPr="00685A4E" w:rsidR="0050160C" w:rsidP="00685A4E" w:rsidRDefault="0050160C" w14:paraId="20D17CFD" w14:textId="77777777">
      <w:pPr>
        <w:autoSpaceDE w:val="0"/>
        <w:autoSpaceDN w:val="0"/>
        <w:adjustRightInd w:val="0"/>
        <w:jc w:val="both"/>
        <w:rPr>
          <w:rFonts w:eastAsia="Calibri" w:asciiTheme="minorHAnsi" w:hAnsiTheme="minorHAnsi" w:cstheme="minorHAnsi"/>
          <w:color w:val="2E2929"/>
          <w:sz w:val="20"/>
          <w:lang w:val="es-ES"/>
        </w:rPr>
      </w:pPr>
    </w:p>
    <w:p w:rsidRPr="00685A4E" w:rsidR="00E77EE9" w:rsidP="00685A4E" w:rsidRDefault="00E77EE9" w14:paraId="1FB4C93C" w14:textId="77777777">
      <w:pPr>
        <w:autoSpaceDE w:val="0"/>
        <w:autoSpaceDN w:val="0"/>
        <w:adjustRightInd w:val="0"/>
        <w:jc w:val="both"/>
        <w:rPr>
          <w:rFonts w:eastAsia="Calibri" w:asciiTheme="minorHAnsi" w:hAnsiTheme="minorHAnsi" w:cstheme="minorHAnsi"/>
          <w:color w:val="2E2929"/>
          <w:sz w:val="20"/>
          <w:lang w:val="es-ES"/>
        </w:rPr>
      </w:pPr>
    </w:p>
    <w:p w:rsidRPr="00685A4E" w:rsidR="00E263C8" w:rsidP="00685A4E" w:rsidRDefault="000844C1" w14:paraId="11C50539" w14:textId="49D0803B">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6</w:t>
      </w:r>
      <w:r w:rsidRPr="00685A4E" w:rsidR="00E263C8">
        <w:rPr>
          <w:rFonts w:asciiTheme="minorHAnsi" w:hAnsiTheme="minorHAnsi" w:cstheme="minorHAnsi"/>
          <w:b/>
          <w:bCs/>
          <w:color w:val="auto"/>
          <w:sz w:val="20"/>
          <w:szCs w:val="20"/>
        </w:rPr>
        <w:tab/>
      </w:r>
      <w:proofErr w:type="gramStart"/>
      <w:r w:rsidRPr="00685A4E" w:rsidR="00E263C8">
        <w:rPr>
          <w:rFonts w:asciiTheme="minorHAnsi" w:hAnsiTheme="minorHAnsi" w:cstheme="minorHAnsi"/>
          <w:b/>
          <w:bCs/>
          <w:color w:val="auto"/>
          <w:sz w:val="20"/>
          <w:szCs w:val="20"/>
        </w:rPr>
        <w:t>Selección</w:t>
      </w:r>
      <w:proofErr w:type="gramEnd"/>
      <w:r w:rsidRPr="00685A4E" w:rsidR="00115DFB">
        <w:rPr>
          <w:rFonts w:asciiTheme="minorHAnsi" w:hAnsiTheme="minorHAnsi" w:cstheme="minorHAnsi"/>
          <w:b/>
          <w:bCs/>
          <w:color w:val="auto"/>
          <w:sz w:val="20"/>
          <w:szCs w:val="20"/>
        </w:rPr>
        <w:t xml:space="preserve"> </w:t>
      </w:r>
      <w:r w:rsidRPr="00685A4E" w:rsidR="0022779D">
        <w:rPr>
          <w:rFonts w:asciiTheme="minorHAnsi" w:hAnsiTheme="minorHAnsi" w:cstheme="minorHAnsi"/>
          <w:b/>
          <w:bCs/>
          <w:color w:val="auto"/>
          <w:sz w:val="20"/>
          <w:szCs w:val="20"/>
        </w:rPr>
        <w:t>de los participantes</w:t>
      </w:r>
    </w:p>
    <w:p w:rsidRPr="00685A4E" w:rsidR="00394DDD" w:rsidP="00685A4E" w:rsidRDefault="00394DDD" w14:paraId="4E660778" w14:textId="1CAC79AC">
      <w:pPr>
        <w:pStyle w:val="Default"/>
        <w:jc w:val="both"/>
        <w:rPr>
          <w:rFonts w:eastAsia="Calibri" w:asciiTheme="minorHAnsi" w:hAnsiTheme="minorHAnsi" w:cstheme="minorHAnsi"/>
          <w:color w:val="2E2929"/>
          <w:sz w:val="20"/>
          <w:szCs w:val="20"/>
        </w:rPr>
      </w:pPr>
      <w:r w:rsidRPr="00685A4E">
        <w:rPr>
          <w:rFonts w:eastAsia="Calibri" w:asciiTheme="minorHAnsi" w:hAnsiTheme="minorHAnsi" w:cstheme="minorHAnsi"/>
          <w:color w:val="2E2929"/>
          <w:sz w:val="20"/>
          <w:szCs w:val="20"/>
        </w:rPr>
        <w:t xml:space="preserve">Todos los pacientes diagnosticados de ERC de causa desconocida antes de los 45 </w:t>
      </w:r>
      <w:proofErr w:type="gramStart"/>
      <w:r w:rsidRPr="00685A4E">
        <w:rPr>
          <w:rFonts w:eastAsia="Calibri" w:asciiTheme="minorHAnsi" w:hAnsiTheme="minorHAnsi" w:cstheme="minorHAnsi"/>
          <w:color w:val="2E2929"/>
          <w:sz w:val="20"/>
          <w:szCs w:val="20"/>
        </w:rPr>
        <w:t>años,</w:t>
      </w:r>
      <w:proofErr w:type="gramEnd"/>
      <w:r w:rsidRPr="00685A4E">
        <w:rPr>
          <w:rFonts w:eastAsia="Calibri" w:asciiTheme="minorHAnsi" w:hAnsiTheme="minorHAnsi" w:cstheme="minorHAnsi"/>
          <w:color w:val="2E2929"/>
          <w:sz w:val="20"/>
          <w:szCs w:val="20"/>
        </w:rPr>
        <w:t xml:space="preserve"> serán candidatos a ser incluidos en el estudio.</w:t>
      </w:r>
    </w:p>
    <w:p w:rsidRPr="00685A4E" w:rsidR="00394DDD" w:rsidP="00685A4E" w:rsidRDefault="00394DDD" w14:paraId="3B395412" w14:textId="77777777">
      <w:pPr>
        <w:pStyle w:val="Default"/>
        <w:jc w:val="both"/>
        <w:rPr>
          <w:rFonts w:eastAsia="Calibri" w:asciiTheme="minorHAnsi" w:hAnsiTheme="minorHAnsi" w:cstheme="minorHAnsi"/>
          <w:color w:val="2E2929"/>
          <w:sz w:val="20"/>
          <w:szCs w:val="20"/>
        </w:rPr>
      </w:pPr>
      <w:r w:rsidRPr="00685A4E">
        <w:rPr>
          <w:rFonts w:eastAsia="Calibri" w:asciiTheme="minorHAnsi" w:hAnsiTheme="minorHAnsi" w:cstheme="minorHAnsi"/>
          <w:color w:val="2E2929"/>
          <w:sz w:val="20"/>
          <w:szCs w:val="20"/>
        </w:rPr>
        <w:t>Previamente a la inclusión se dará información detallada del estudio, se resolverán dudas y si el paciente acepta se firmará por duplicado el consentimiento informado, recibiendo el paciente una copia firmada por el investigador principal.</w:t>
      </w:r>
    </w:p>
    <w:p w:rsidRPr="00685A4E" w:rsidR="0050160C" w:rsidP="00685A4E" w:rsidRDefault="0050160C" w14:paraId="215B0956" w14:textId="014AE133">
      <w:pPr>
        <w:pStyle w:val="Default"/>
        <w:jc w:val="both"/>
        <w:rPr>
          <w:rFonts w:eastAsia="Calibri" w:asciiTheme="minorHAnsi" w:hAnsiTheme="minorHAnsi" w:cstheme="minorHAnsi"/>
          <w:color w:val="2E2929"/>
          <w:sz w:val="20"/>
          <w:szCs w:val="20"/>
        </w:rPr>
      </w:pPr>
      <w:r w:rsidRPr="00685A4E">
        <w:rPr>
          <w:rFonts w:eastAsia="Calibri" w:asciiTheme="minorHAnsi" w:hAnsiTheme="minorHAnsi" w:cstheme="minorHAnsi"/>
          <w:color w:val="2E2929"/>
          <w:sz w:val="20"/>
          <w:szCs w:val="20"/>
        </w:rPr>
        <w:t xml:space="preserve">La inclusión inicial correrá a cargo de los 4 centros que se presentan como investigadores principales, no obstante, a medida que se recauden fondos para el estudio, se adecuarán nuevos centros de la </w:t>
      </w:r>
      <w:r w:rsidRPr="00685A4E" w:rsidR="00115DFB">
        <w:rPr>
          <w:rFonts w:eastAsia="Calibri" w:asciiTheme="minorHAnsi" w:hAnsiTheme="minorHAnsi" w:cstheme="minorHAnsi"/>
          <w:color w:val="2E2929"/>
          <w:sz w:val="20"/>
          <w:szCs w:val="20"/>
        </w:rPr>
        <w:t xml:space="preserve">SOMANE </w:t>
      </w:r>
      <w:r w:rsidRPr="00685A4E">
        <w:rPr>
          <w:rFonts w:eastAsia="Calibri" w:asciiTheme="minorHAnsi" w:hAnsiTheme="minorHAnsi" w:cstheme="minorHAnsi"/>
          <w:color w:val="2E2929"/>
          <w:sz w:val="20"/>
          <w:szCs w:val="20"/>
        </w:rPr>
        <w:t xml:space="preserve">para su participación (hasta la fecha han manifestado su intención de participar </w:t>
      </w:r>
      <w:r w:rsidRPr="00685A4E" w:rsidR="00115DFB">
        <w:rPr>
          <w:rFonts w:eastAsia="Calibri" w:asciiTheme="minorHAnsi" w:hAnsiTheme="minorHAnsi" w:cstheme="minorHAnsi"/>
          <w:color w:val="2E2929"/>
          <w:sz w:val="20"/>
          <w:szCs w:val="20"/>
        </w:rPr>
        <w:t>todos los</w:t>
      </w:r>
      <w:r w:rsidRPr="00685A4E">
        <w:rPr>
          <w:rFonts w:eastAsia="Calibri" w:asciiTheme="minorHAnsi" w:hAnsiTheme="minorHAnsi" w:cstheme="minorHAnsi"/>
          <w:color w:val="2E2929"/>
          <w:sz w:val="20"/>
          <w:szCs w:val="20"/>
        </w:rPr>
        <w:t xml:space="preserve"> centros </w:t>
      </w:r>
      <w:r w:rsidRPr="00685A4E" w:rsidR="00115DFB">
        <w:rPr>
          <w:rFonts w:eastAsia="Calibri" w:asciiTheme="minorHAnsi" w:hAnsiTheme="minorHAnsi" w:cstheme="minorHAnsi"/>
          <w:color w:val="2E2929"/>
          <w:sz w:val="20"/>
          <w:szCs w:val="20"/>
        </w:rPr>
        <w:t>madrileños</w:t>
      </w:r>
      <w:r w:rsidRPr="00685A4E">
        <w:rPr>
          <w:rFonts w:eastAsia="Calibri" w:asciiTheme="minorHAnsi" w:hAnsiTheme="minorHAnsi" w:cstheme="minorHAnsi"/>
          <w:color w:val="2E2929"/>
          <w:sz w:val="20"/>
          <w:szCs w:val="20"/>
        </w:rPr>
        <w:t>).</w:t>
      </w:r>
    </w:p>
    <w:p w:rsidRPr="00685A4E" w:rsidR="00E263C8" w:rsidP="00685A4E" w:rsidRDefault="000844C1" w14:paraId="3C81F711" w14:textId="77777777">
      <w:pPr>
        <w:pStyle w:val="Default"/>
        <w:jc w:val="both"/>
        <w:rPr>
          <w:rFonts w:asciiTheme="minorHAnsi" w:hAnsiTheme="minorHAnsi" w:cstheme="minorHAnsi"/>
          <w:bCs/>
          <w:color w:val="auto"/>
          <w:sz w:val="20"/>
          <w:szCs w:val="20"/>
          <w:u w:val="single"/>
        </w:rPr>
      </w:pPr>
      <w:r w:rsidRPr="00685A4E">
        <w:rPr>
          <w:rFonts w:asciiTheme="minorHAnsi" w:hAnsiTheme="minorHAnsi" w:cstheme="minorHAnsi"/>
          <w:bCs/>
          <w:color w:val="auto"/>
          <w:sz w:val="20"/>
          <w:szCs w:val="20"/>
          <w:u w:val="single"/>
        </w:rPr>
        <w:t>6.1</w:t>
      </w:r>
      <w:r w:rsidRPr="00685A4E" w:rsidR="00E263C8">
        <w:rPr>
          <w:rFonts w:asciiTheme="minorHAnsi" w:hAnsiTheme="minorHAnsi" w:cstheme="minorHAnsi"/>
          <w:bCs/>
          <w:color w:val="auto"/>
          <w:sz w:val="20"/>
          <w:szCs w:val="20"/>
          <w:u w:val="single"/>
        </w:rPr>
        <w:tab/>
      </w:r>
      <w:r w:rsidRPr="00685A4E" w:rsidR="00E263C8">
        <w:rPr>
          <w:rFonts w:asciiTheme="minorHAnsi" w:hAnsiTheme="minorHAnsi" w:cstheme="minorHAnsi"/>
          <w:bCs/>
          <w:color w:val="auto"/>
          <w:sz w:val="20"/>
          <w:szCs w:val="20"/>
          <w:u w:val="single"/>
        </w:rPr>
        <w:t>Criterios de inclusión de los sujetos</w:t>
      </w:r>
      <w:r w:rsidRPr="00685A4E" w:rsidR="00C9108D">
        <w:rPr>
          <w:rFonts w:asciiTheme="minorHAnsi" w:hAnsiTheme="minorHAnsi" w:cstheme="minorHAnsi"/>
          <w:bCs/>
          <w:color w:val="auto"/>
          <w:sz w:val="20"/>
          <w:szCs w:val="20"/>
          <w:u w:val="single"/>
        </w:rPr>
        <w:t>:</w:t>
      </w:r>
    </w:p>
    <w:p w:rsidRPr="00685A4E" w:rsidR="00394DDD" w:rsidP="00685A4E" w:rsidRDefault="00394DDD" w14:paraId="60F0244F" w14:textId="30AE098A">
      <w:pPr>
        <w:pStyle w:val="Default"/>
        <w:jc w:val="both"/>
        <w:rPr>
          <w:rFonts w:eastAsia="Calibri" w:asciiTheme="minorHAnsi" w:hAnsiTheme="minorHAnsi" w:cstheme="minorHAnsi"/>
          <w:color w:val="2E2929"/>
          <w:sz w:val="20"/>
          <w:szCs w:val="20"/>
        </w:rPr>
      </w:pPr>
      <w:r w:rsidRPr="00685A4E">
        <w:rPr>
          <w:rFonts w:eastAsia="Calibri" w:asciiTheme="minorHAnsi" w:hAnsiTheme="minorHAnsi" w:cstheme="minorHAnsi"/>
          <w:b/>
          <w:bCs/>
          <w:color w:val="2E2929"/>
          <w:sz w:val="20"/>
          <w:szCs w:val="20"/>
        </w:rPr>
        <w:t xml:space="preserve">Población de estudio: </w:t>
      </w:r>
      <w:r w:rsidRPr="00685A4E">
        <w:rPr>
          <w:rFonts w:eastAsia="Calibri" w:asciiTheme="minorHAnsi" w:hAnsiTheme="minorHAnsi" w:cstheme="minorHAnsi"/>
          <w:color w:val="2E2929"/>
          <w:sz w:val="20"/>
          <w:szCs w:val="20"/>
        </w:rPr>
        <w:t>Pacientes que desarrollaron ERC antes de los 45 años sin diagnóstico etiológico.</w:t>
      </w:r>
    </w:p>
    <w:p w:rsidRPr="00685A4E" w:rsidR="00E263C8" w:rsidP="00685A4E" w:rsidRDefault="000844C1" w14:paraId="77ADE26E" w14:textId="77777777">
      <w:pPr>
        <w:pStyle w:val="Default"/>
        <w:jc w:val="both"/>
        <w:rPr>
          <w:rFonts w:asciiTheme="minorHAnsi" w:hAnsiTheme="minorHAnsi" w:cstheme="minorHAnsi"/>
          <w:bCs/>
          <w:color w:val="auto"/>
          <w:sz w:val="20"/>
          <w:szCs w:val="20"/>
          <w:u w:val="single"/>
        </w:rPr>
      </w:pPr>
      <w:r w:rsidRPr="00685A4E">
        <w:rPr>
          <w:rFonts w:asciiTheme="minorHAnsi" w:hAnsiTheme="minorHAnsi" w:cstheme="minorHAnsi"/>
          <w:bCs/>
          <w:color w:val="auto"/>
          <w:sz w:val="20"/>
          <w:szCs w:val="20"/>
          <w:u w:val="single"/>
        </w:rPr>
        <w:t>6.2</w:t>
      </w:r>
      <w:r w:rsidRPr="00685A4E" w:rsidR="00E263C8">
        <w:rPr>
          <w:rFonts w:asciiTheme="minorHAnsi" w:hAnsiTheme="minorHAnsi" w:cstheme="minorHAnsi"/>
          <w:bCs/>
          <w:color w:val="auto"/>
          <w:sz w:val="20"/>
          <w:szCs w:val="20"/>
          <w:u w:val="single"/>
        </w:rPr>
        <w:tab/>
      </w:r>
      <w:r w:rsidRPr="00685A4E" w:rsidR="00E263C8">
        <w:rPr>
          <w:rFonts w:asciiTheme="minorHAnsi" w:hAnsiTheme="minorHAnsi" w:cstheme="minorHAnsi"/>
          <w:bCs/>
          <w:color w:val="auto"/>
          <w:sz w:val="20"/>
          <w:szCs w:val="20"/>
          <w:u w:val="single"/>
        </w:rPr>
        <w:t>Criterios de exclusión de los sujetos</w:t>
      </w:r>
      <w:r w:rsidRPr="00685A4E" w:rsidR="00C9108D">
        <w:rPr>
          <w:rFonts w:asciiTheme="minorHAnsi" w:hAnsiTheme="minorHAnsi" w:cstheme="minorHAnsi"/>
          <w:bCs/>
          <w:color w:val="auto"/>
          <w:sz w:val="20"/>
          <w:szCs w:val="20"/>
          <w:u w:val="single"/>
        </w:rPr>
        <w:t>:</w:t>
      </w:r>
    </w:p>
    <w:p w:rsidRPr="00685A4E" w:rsidR="00E263C8" w:rsidP="00685A4E" w:rsidRDefault="00394DDD" w14:paraId="64D4A034" w14:textId="1FB0CCD3">
      <w:pPr>
        <w:jc w:val="both"/>
        <w:rPr>
          <w:rFonts w:asciiTheme="minorHAnsi" w:hAnsiTheme="minorHAnsi" w:cstheme="minorHAnsi"/>
          <w:bCs/>
          <w:sz w:val="20"/>
          <w:lang w:val="es-ES"/>
        </w:rPr>
      </w:pPr>
      <w:r w:rsidRPr="00685A4E">
        <w:rPr>
          <w:rFonts w:eastAsia="Calibri" w:asciiTheme="minorHAnsi" w:hAnsiTheme="minorHAnsi" w:cstheme="minorHAnsi"/>
          <w:b/>
          <w:bCs/>
          <w:color w:val="2E2929"/>
          <w:sz w:val="20"/>
          <w:lang w:val="es-ES"/>
        </w:rPr>
        <w:t xml:space="preserve">Población de estudio: </w:t>
      </w:r>
      <w:r w:rsidRPr="00685A4E">
        <w:rPr>
          <w:rFonts w:eastAsia="Calibri" w:asciiTheme="minorHAnsi" w:hAnsiTheme="minorHAnsi" w:cstheme="minorHAnsi"/>
          <w:color w:val="2E2929"/>
          <w:sz w:val="20"/>
          <w:lang w:val="es-ES"/>
        </w:rPr>
        <w:t>Pacientes que desarrollaron ERC después de los 45 años. Pacientes con un claro diagnóstico clínico, histológico o genético de su enfermedad renal.</w:t>
      </w:r>
    </w:p>
    <w:p w:rsidRPr="00685A4E" w:rsidR="008569FF" w:rsidP="00685A4E" w:rsidRDefault="000844C1" w14:paraId="4C12C9AD"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7</w:t>
      </w:r>
      <w:r w:rsidRPr="00685A4E" w:rsidR="008569FF">
        <w:rPr>
          <w:rFonts w:asciiTheme="minorHAnsi" w:hAnsiTheme="minorHAnsi" w:cstheme="minorHAnsi"/>
          <w:b/>
          <w:bCs/>
          <w:color w:val="auto"/>
          <w:sz w:val="20"/>
          <w:szCs w:val="20"/>
        </w:rPr>
        <w:tab/>
      </w:r>
      <w:proofErr w:type="gramStart"/>
      <w:r w:rsidRPr="00685A4E" w:rsidR="00575CCF">
        <w:rPr>
          <w:rFonts w:asciiTheme="minorHAnsi" w:hAnsiTheme="minorHAnsi" w:cstheme="minorHAnsi"/>
          <w:b/>
          <w:bCs/>
          <w:color w:val="auto"/>
          <w:sz w:val="20"/>
          <w:szCs w:val="20"/>
        </w:rPr>
        <w:t>Tratamiento</w:t>
      </w:r>
      <w:proofErr w:type="gramEnd"/>
      <w:r w:rsidRPr="00685A4E" w:rsidR="00575CCF">
        <w:rPr>
          <w:rFonts w:asciiTheme="minorHAnsi" w:hAnsiTheme="minorHAnsi" w:cstheme="minorHAnsi"/>
          <w:b/>
          <w:bCs/>
          <w:color w:val="auto"/>
          <w:sz w:val="20"/>
          <w:szCs w:val="20"/>
        </w:rPr>
        <w:t xml:space="preserve"> y </w:t>
      </w:r>
      <w:r w:rsidRPr="00685A4E" w:rsidR="008569FF">
        <w:rPr>
          <w:rFonts w:asciiTheme="minorHAnsi" w:hAnsiTheme="minorHAnsi" w:cstheme="minorHAnsi"/>
          <w:b/>
          <w:bCs/>
          <w:color w:val="auto"/>
          <w:sz w:val="20"/>
          <w:szCs w:val="20"/>
        </w:rPr>
        <w:t>calendario del estudio</w:t>
      </w:r>
    </w:p>
    <w:p w:rsidRPr="00685A4E" w:rsidR="001545E9" w:rsidP="00685A4E" w:rsidRDefault="001545E9" w14:paraId="07CFC313" w14:textId="77777777">
      <w:pPr>
        <w:autoSpaceDE w:val="0"/>
        <w:autoSpaceDN w:val="0"/>
        <w:adjustRightInd w:val="0"/>
        <w:jc w:val="both"/>
        <w:rPr>
          <w:rFonts w:eastAsia="Calibri" w:asciiTheme="minorHAnsi" w:hAnsiTheme="minorHAnsi" w:cstheme="minorHAnsi"/>
          <w:color w:val="2E2929"/>
          <w:sz w:val="20"/>
          <w:lang w:val="es-ES"/>
        </w:rPr>
      </w:pPr>
    </w:p>
    <w:p w:rsidRPr="00685A4E" w:rsidR="00394DDD" w:rsidP="00685A4E" w:rsidRDefault="00394DDD" w14:paraId="487B5F7B"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Sobre la población de estudio se realizarán los procedimientos habituales desarrollados en la práctica clínica. Todas las visitas y pruebas coincidirán con las programadas para el seguimiento clínico habitual. No se administrarán tratamientos diferentes, ni se realizarán otras pruebas extra.</w:t>
      </w:r>
    </w:p>
    <w:p w:rsidRPr="00685A4E" w:rsidR="00394DDD" w:rsidP="00685A4E" w:rsidRDefault="00394DDD" w14:paraId="400AD8A3" w14:textId="77777777">
      <w:pPr>
        <w:autoSpaceDE w:val="0"/>
        <w:autoSpaceDN w:val="0"/>
        <w:adjustRightInd w:val="0"/>
        <w:jc w:val="both"/>
        <w:rPr>
          <w:rFonts w:eastAsia="Calibri" w:asciiTheme="minorHAnsi" w:hAnsiTheme="minorHAnsi" w:cstheme="minorHAnsi"/>
          <w:color w:val="2E2929"/>
          <w:sz w:val="20"/>
          <w:lang w:val="es-ES"/>
        </w:rPr>
      </w:pPr>
    </w:p>
    <w:p w:rsidRPr="00685A4E" w:rsidR="00394DDD" w:rsidP="00685A4E" w:rsidRDefault="00394DDD" w14:paraId="7B25AEB7" w14:textId="3CCF22CD">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Una vez identificados los potenciales pacientes en los diferentes hospitales de referencia, se les ofrecerá la entrada en el estudio, coincidiendo con una visita asistencial rutinaria. En el caso de aceptar su participación, se firmará el consentimiento por duplicado y se aportará uno de ellos. Después de la inclusión, todos los datos demográficos, clínicos e histológicos se recopilarán en la base de datos generada. Asimismo, se obtendrán muestras de sangre periférica (3-5 mL de </w:t>
      </w:r>
      <w:r w:rsidR="004208E6">
        <w:rPr>
          <w:rFonts w:eastAsia="Calibri" w:asciiTheme="minorHAnsi" w:hAnsiTheme="minorHAnsi" w:cstheme="minorHAnsi"/>
          <w:color w:val="2E2929"/>
          <w:sz w:val="20"/>
          <w:lang w:val="es-ES"/>
        </w:rPr>
        <w:t xml:space="preserve">en tubo de </w:t>
      </w:r>
      <w:r w:rsidRPr="00685A4E">
        <w:rPr>
          <w:rFonts w:eastAsia="Calibri" w:asciiTheme="minorHAnsi" w:hAnsiTheme="minorHAnsi" w:cstheme="minorHAnsi"/>
          <w:color w:val="2E2929"/>
          <w:sz w:val="20"/>
          <w:lang w:val="es-ES"/>
        </w:rPr>
        <w:t>Plasma-EDTA) en la misma fecha en que se realicen las pruebas asistenciales de rutina.</w:t>
      </w:r>
    </w:p>
    <w:p w:rsidRPr="00685A4E" w:rsidR="00394DDD" w:rsidP="00685A4E" w:rsidRDefault="00394DDD" w14:paraId="6FACA9F3" w14:textId="77777777">
      <w:pPr>
        <w:autoSpaceDE w:val="0"/>
        <w:autoSpaceDN w:val="0"/>
        <w:adjustRightInd w:val="0"/>
        <w:jc w:val="both"/>
        <w:rPr>
          <w:rFonts w:eastAsia="Calibri" w:asciiTheme="minorHAnsi" w:hAnsiTheme="minorHAnsi" w:cstheme="minorHAnsi"/>
          <w:color w:val="2E2929"/>
          <w:sz w:val="20"/>
          <w:lang w:val="es-ES"/>
        </w:rPr>
      </w:pPr>
    </w:p>
    <w:p w:rsidRPr="00685A4E" w:rsidR="00741BA9" w:rsidP="00685A4E" w:rsidRDefault="00394DDD" w14:paraId="4E00B8B3" w14:textId="77777777">
      <w:pPr>
        <w:autoSpaceDE w:val="0"/>
        <w:autoSpaceDN w:val="0"/>
        <w:adjustRightInd w:val="0"/>
        <w:jc w:val="both"/>
        <w:rPr>
          <w:rFonts w:eastAsia="Calibri" w:asciiTheme="minorHAnsi" w:hAnsiTheme="minorHAnsi" w:cstheme="minorHAnsi"/>
          <w:color w:val="2E2929"/>
          <w:sz w:val="20"/>
          <w:lang w:val="es-ES"/>
        </w:rPr>
      </w:pPr>
      <w:r w:rsidRPr="00685A4E">
        <w:rPr>
          <w:rFonts w:eastAsia="Calibri" w:asciiTheme="minorHAnsi" w:hAnsiTheme="minorHAnsi" w:cstheme="minorHAnsi"/>
          <w:color w:val="2E2929"/>
          <w:sz w:val="20"/>
          <w:lang w:val="es-ES"/>
        </w:rPr>
        <w:t xml:space="preserve">Durante los primeros 6 meses del estudio, se identificarán los pacientes potenciales, se ingresarán en el ensayo, se obtendrán datos clínicos y se tomarán muestras de sangre de forma progresiva en los diferentes centros de salud. En un plazo total de 12 meses desde el inicio del proyecto, todos los estudios genéticos serán realizados por </w:t>
      </w:r>
      <w:proofErr w:type="spellStart"/>
      <w:r w:rsidRPr="00685A4E">
        <w:rPr>
          <w:rFonts w:eastAsia="Calibri" w:asciiTheme="minorHAnsi" w:hAnsiTheme="minorHAnsi" w:cstheme="minorHAnsi"/>
          <w:color w:val="2E2929"/>
          <w:sz w:val="20"/>
          <w:lang w:val="es-ES"/>
        </w:rPr>
        <w:t>Health</w:t>
      </w:r>
      <w:proofErr w:type="spellEnd"/>
      <w:r w:rsidRPr="00685A4E">
        <w:rPr>
          <w:rFonts w:eastAsia="Calibri" w:asciiTheme="minorHAnsi" w:hAnsiTheme="minorHAnsi" w:cstheme="minorHAnsi"/>
          <w:color w:val="2E2929"/>
          <w:sz w:val="20"/>
          <w:lang w:val="es-ES"/>
        </w:rPr>
        <w:t xml:space="preserve"> in </w:t>
      </w:r>
      <w:proofErr w:type="spellStart"/>
      <w:r w:rsidRPr="00685A4E">
        <w:rPr>
          <w:rFonts w:eastAsia="Calibri" w:asciiTheme="minorHAnsi" w:hAnsiTheme="minorHAnsi" w:cstheme="minorHAnsi"/>
          <w:color w:val="2E2929"/>
          <w:sz w:val="20"/>
          <w:lang w:val="es-ES"/>
        </w:rPr>
        <w:t>Code</w:t>
      </w:r>
      <w:proofErr w:type="spellEnd"/>
      <w:r w:rsidRPr="00685A4E">
        <w:rPr>
          <w:rFonts w:eastAsia="Calibri" w:asciiTheme="minorHAnsi" w:hAnsiTheme="minorHAnsi" w:cstheme="minorHAnsi"/>
          <w:color w:val="2E2929"/>
          <w:sz w:val="20"/>
          <w:lang w:val="es-ES"/>
        </w:rPr>
        <w:t>, así como los informes pertinentes.</w:t>
      </w:r>
    </w:p>
    <w:p w:rsidRPr="00685A4E" w:rsidR="00741BA9" w:rsidP="00685A4E" w:rsidRDefault="00741BA9" w14:paraId="0CBA9AC0" w14:textId="77777777">
      <w:pPr>
        <w:autoSpaceDE w:val="0"/>
        <w:autoSpaceDN w:val="0"/>
        <w:adjustRightInd w:val="0"/>
        <w:jc w:val="both"/>
        <w:rPr>
          <w:rFonts w:eastAsia="Calibri" w:asciiTheme="minorHAnsi" w:hAnsiTheme="minorHAnsi" w:cstheme="minorHAnsi"/>
          <w:color w:val="2E2929"/>
          <w:sz w:val="20"/>
          <w:lang w:val="es-ES"/>
        </w:rPr>
      </w:pPr>
    </w:p>
    <w:p w:rsidRPr="00685A4E" w:rsidR="00E263C8" w:rsidP="00685A4E" w:rsidRDefault="000844C1" w14:paraId="6DCF648E"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8</w:t>
      </w:r>
      <w:r w:rsidRPr="00685A4E" w:rsidR="00E263C8">
        <w:rPr>
          <w:rFonts w:asciiTheme="minorHAnsi" w:hAnsiTheme="minorHAnsi" w:cstheme="minorHAnsi"/>
          <w:b/>
          <w:bCs/>
          <w:color w:val="auto"/>
          <w:sz w:val="20"/>
          <w:szCs w:val="20"/>
        </w:rPr>
        <w:tab/>
      </w:r>
      <w:proofErr w:type="gramStart"/>
      <w:r w:rsidRPr="00685A4E" w:rsidR="00E263C8">
        <w:rPr>
          <w:rFonts w:asciiTheme="minorHAnsi" w:hAnsiTheme="minorHAnsi" w:cstheme="minorHAnsi"/>
          <w:b/>
          <w:bCs/>
          <w:color w:val="auto"/>
          <w:sz w:val="20"/>
          <w:szCs w:val="20"/>
        </w:rPr>
        <w:t>Estadística</w:t>
      </w:r>
      <w:proofErr w:type="gramEnd"/>
    </w:p>
    <w:p w:rsidRPr="00685A4E" w:rsidR="00394DDD" w:rsidP="00685A4E" w:rsidRDefault="00394DDD" w14:paraId="48518D41" w14:textId="77777777">
      <w:pPr>
        <w:pStyle w:val="Default"/>
        <w:jc w:val="both"/>
        <w:rPr>
          <w:rFonts w:eastAsia="Calibri" w:asciiTheme="minorHAnsi" w:hAnsiTheme="minorHAnsi" w:cstheme="minorHAnsi"/>
          <w:color w:val="2E2929"/>
          <w:sz w:val="20"/>
          <w:szCs w:val="20"/>
        </w:rPr>
      </w:pPr>
      <w:r w:rsidRPr="00685A4E">
        <w:rPr>
          <w:rFonts w:eastAsia="Calibri" w:asciiTheme="minorHAnsi" w:hAnsiTheme="minorHAnsi" w:cstheme="minorHAnsi"/>
          <w:color w:val="2E2929"/>
          <w:sz w:val="20"/>
          <w:szCs w:val="20"/>
        </w:rPr>
        <w:t>El rendimiento diagnóstico se calculará en función de los recuentos de variantes clasificadas como "patogénicas" o "probablemente patógenas". Evaluaremos el desempeño para cada categoría de diagnóstico clínico usando un modelo de regresión logística (función R GLM), con nefropatía diabética (para la cual el desempeño fue más bajo) como referencia. Además, ejecutaremos modelos con ajuste por cohorte, sexo y edad al ingreso al estudio. Las comparaciones por pares se realizaron con una prueba exacta de Fisher de dos colas. Se consideró que un valor de P corregido por Bonferroni de menos de 0,007 indicaba significación estadística.</w:t>
      </w:r>
    </w:p>
    <w:p w:rsidRPr="00685A4E" w:rsidR="00394DDD" w:rsidP="00685A4E" w:rsidRDefault="00394DDD" w14:paraId="7BA4BF37" w14:textId="77777777">
      <w:pPr>
        <w:pStyle w:val="Default"/>
        <w:jc w:val="both"/>
        <w:rPr>
          <w:rFonts w:eastAsia="Calibri" w:asciiTheme="minorHAnsi" w:hAnsiTheme="minorHAnsi" w:cstheme="minorHAnsi"/>
          <w:color w:val="2E2929"/>
          <w:sz w:val="20"/>
          <w:szCs w:val="20"/>
        </w:rPr>
      </w:pPr>
    </w:p>
    <w:p w:rsidRPr="00685A4E" w:rsidR="00E263C8" w:rsidP="00685A4E" w:rsidRDefault="000844C1" w14:paraId="7A48A18E"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9</w:t>
      </w:r>
      <w:r w:rsidRPr="00685A4E" w:rsidR="00E263C8">
        <w:rPr>
          <w:rFonts w:asciiTheme="minorHAnsi" w:hAnsiTheme="minorHAnsi" w:cstheme="minorHAnsi"/>
          <w:b/>
          <w:bCs/>
          <w:color w:val="auto"/>
          <w:sz w:val="20"/>
          <w:szCs w:val="20"/>
        </w:rPr>
        <w:tab/>
      </w:r>
      <w:proofErr w:type="gramStart"/>
      <w:r w:rsidRPr="00685A4E" w:rsidR="00E263C8">
        <w:rPr>
          <w:rFonts w:asciiTheme="minorHAnsi" w:hAnsiTheme="minorHAnsi" w:cstheme="minorHAnsi"/>
          <w:b/>
          <w:bCs/>
          <w:color w:val="auto"/>
          <w:sz w:val="20"/>
          <w:szCs w:val="20"/>
        </w:rPr>
        <w:t>Ética</w:t>
      </w:r>
      <w:proofErr w:type="gramEnd"/>
      <w:r w:rsidRPr="00685A4E" w:rsidR="00EC783B">
        <w:rPr>
          <w:rFonts w:asciiTheme="minorHAnsi" w:hAnsiTheme="minorHAnsi" w:cstheme="minorHAnsi"/>
          <w:b/>
          <w:bCs/>
          <w:color w:val="auto"/>
          <w:sz w:val="20"/>
          <w:szCs w:val="20"/>
        </w:rPr>
        <w:t xml:space="preserve"> y aspectos legales</w:t>
      </w:r>
    </w:p>
    <w:p w:rsidRPr="00685A4E" w:rsidR="00394DDD" w:rsidP="00685A4E" w:rsidRDefault="00394DDD" w14:paraId="4F6AB919" w14:textId="77777777">
      <w:pPr>
        <w:pStyle w:val="Default"/>
        <w:jc w:val="both"/>
        <w:rPr>
          <w:rFonts w:eastAsia="Calibri" w:asciiTheme="minorHAnsi" w:hAnsiTheme="minorHAnsi" w:cstheme="minorHAnsi"/>
          <w:color w:val="2E2929"/>
          <w:sz w:val="20"/>
          <w:szCs w:val="20"/>
        </w:rPr>
      </w:pPr>
      <w:proofErr w:type="gramStart"/>
      <w:r w:rsidRPr="00685A4E">
        <w:rPr>
          <w:rFonts w:eastAsia="Calibri" w:asciiTheme="minorHAnsi" w:hAnsiTheme="minorHAnsi" w:cstheme="minorHAnsi"/>
          <w:color w:val="2E2929"/>
          <w:sz w:val="20"/>
          <w:szCs w:val="20"/>
        </w:rPr>
        <w:t>Todos los candidatos a participar</w:t>
      </w:r>
      <w:proofErr w:type="gramEnd"/>
      <w:r w:rsidRPr="00685A4E">
        <w:rPr>
          <w:rFonts w:eastAsia="Calibri" w:asciiTheme="minorHAnsi" w:hAnsiTheme="minorHAnsi" w:cstheme="minorHAnsi"/>
          <w:color w:val="2E2929"/>
          <w:sz w:val="20"/>
          <w:szCs w:val="20"/>
        </w:rPr>
        <w:t xml:space="preserve"> en el estudio serán informados detalladamente al respecto, podrán resolver dudas y si desean participar firmarán el consentimiento - 2 copias - recibiendo una de las copias firmadas, antes de su inclusión.</w:t>
      </w:r>
    </w:p>
    <w:p w:rsidRPr="00685A4E" w:rsidR="00394DDD" w:rsidP="00685A4E" w:rsidRDefault="00394DDD" w14:paraId="4C4BDF4E" w14:textId="77777777">
      <w:pPr>
        <w:pStyle w:val="Default"/>
        <w:jc w:val="both"/>
        <w:rPr>
          <w:rFonts w:eastAsia="Calibri" w:asciiTheme="minorHAnsi" w:hAnsiTheme="minorHAnsi" w:cstheme="minorHAnsi"/>
          <w:color w:val="2E2929"/>
          <w:sz w:val="20"/>
          <w:szCs w:val="20"/>
        </w:rPr>
      </w:pPr>
    </w:p>
    <w:p w:rsidRPr="00685A4E" w:rsidR="009429BF" w:rsidP="00685A4E" w:rsidRDefault="00394DDD" w14:paraId="15C28A68" w14:textId="77777777">
      <w:pPr>
        <w:pStyle w:val="Default"/>
        <w:jc w:val="both"/>
        <w:rPr>
          <w:rFonts w:asciiTheme="minorHAnsi" w:hAnsiTheme="minorHAnsi" w:cstheme="minorHAnsi"/>
          <w:bCs/>
          <w:color w:val="auto"/>
          <w:sz w:val="20"/>
          <w:szCs w:val="20"/>
        </w:rPr>
      </w:pPr>
      <w:r w:rsidRPr="00685A4E">
        <w:rPr>
          <w:rFonts w:eastAsia="Calibri" w:asciiTheme="minorHAnsi" w:hAnsiTheme="minorHAnsi" w:cstheme="minorHAnsi"/>
          <w:color w:val="2E2929"/>
          <w:sz w:val="20"/>
          <w:szCs w:val="20"/>
        </w:rPr>
        <w:t>El estudio se realizó en cumplimiento de la Declaración de Helsinki (versión actual; actualmente Fortaleza, Brasil, octubre de 2013). Además, el estudio se realizará de acuerdo con el protocolo y con los requisitos legales pertinentes: Ley 14/2007, de 3 de julio, de Investigación Biomédica, si se trata de un proyecto de investigación que no tiene nada que ver con medicamentos.</w:t>
      </w:r>
    </w:p>
    <w:p w:rsidRPr="00685A4E" w:rsidR="00327382" w:rsidP="00685A4E" w:rsidRDefault="00327382" w14:paraId="63446DCD"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10</w:t>
      </w:r>
      <w:r w:rsidRPr="00685A4E">
        <w:rPr>
          <w:rFonts w:asciiTheme="minorHAnsi" w:hAnsiTheme="minorHAnsi" w:cstheme="minorHAnsi"/>
          <w:b/>
          <w:bCs/>
          <w:color w:val="auto"/>
          <w:sz w:val="20"/>
          <w:szCs w:val="20"/>
        </w:rPr>
        <w:tab/>
      </w:r>
      <w:proofErr w:type="gramStart"/>
      <w:r w:rsidRPr="00685A4E">
        <w:rPr>
          <w:rFonts w:asciiTheme="minorHAnsi" w:hAnsiTheme="minorHAnsi" w:cstheme="minorHAnsi"/>
          <w:b/>
          <w:bCs/>
          <w:color w:val="auto"/>
          <w:sz w:val="20"/>
          <w:szCs w:val="20"/>
        </w:rPr>
        <w:t>Gestión</w:t>
      </w:r>
      <w:proofErr w:type="gramEnd"/>
      <w:r w:rsidRPr="00685A4E">
        <w:rPr>
          <w:rFonts w:asciiTheme="minorHAnsi" w:hAnsiTheme="minorHAnsi" w:cstheme="minorHAnsi"/>
          <w:b/>
          <w:bCs/>
          <w:color w:val="auto"/>
          <w:sz w:val="20"/>
          <w:szCs w:val="20"/>
        </w:rPr>
        <w:t xml:space="preserve"> de datos</w:t>
      </w:r>
    </w:p>
    <w:p w:rsidRPr="00685A4E" w:rsidR="00394DDD" w:rsidP="00685A4E" w:rsidRDefault="00394DDD" w14:paraId="53355040" w14:textId="77777777">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Tipo y formato de datos que serán recabados:</w:t>
      </w:r>
    </w:p>
    <w:p w:rsidRPr="00685A4E" w:rsidR="00394DDD" w:rsidP="00685A4E" w:rsidRDefault="00394DDD" w14:paraId="3F548DFA" w14:textId="5CAE89E3">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1. Datos demográficos, clínicos e histológicos recogidos de los pacientes que desarrollaron ERC de origen desconocido: demográficos, enfermedades y tratamientos previos, datos analíticos, pauta inmunosupresora, evolución clínica, evaluación histológica y complicaciones (tratamientos y evolución).</w:t>
      </w:r>
    </w:p>
    <w:p w:rsidRPr="00685A4E" w:rsidR="00394DDD" w:rsidP="00685A4E" w:rsidRDefault="00394DDD" w14:paraId="29D78AC9" w14:textId="5625E285">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 xml:space="preserve">2. También se recogerán muestras biológicas (sangre periférica). Todas las muestras se recogerán aprovechando las punciones analíticas definidas por el seguimiento clínico periódico de los pacientes, evitando así la realización de procedimientos innecesarios. De acuerdo con la Ley 14/2007, se recogerán directamente del interesado y se seguirá el procedimiento marcado por la normativa de uso de muestras biológicas para autorizar su uso. Las muestras serán posteriormente almacenadas (-20ºC) en los hospitales participantes y posteriormente enviadas a las oficinas de </w:t>
      </w:r>
      <w:proofErr w:type="spellStart"/>
      <w:r w:rsidRPr="00685A4E">
        <w:rPr>
          <w:rFonts w:asciiTheme="minorHAnsi" w:hAnsiTheme="minorHAnsi" w:cstheme="minorHAnsi"/>
          <w:color w:val="auto"/>
          <w:sz w:val="20"/>
          <w:szCs w:val="20"/>
        </w:rPr>
        <w:t>Healthincode</w:t>
      </w:r>
      <w:proofErr w:type="spellEnd"/>
      <w:r w:rsidRPr="00685A4E">
        <w:rPr>
          <w:rFonts w:asciiTheme="minorHAnsi" w:hAnsiTheme="minorHAnsi" w:cstheme="minorHAnsi"/>
          <w:color w:val="auto"/>
          <w:sz w:val="20"/>
          <w:szCs w:val="20"/>
        </w:rPr>
        <w:t xml:space="preserve"> para realizar el estudio genético completo.</w:t>
      </w:r>
    </w:p>
    <w:p w:rsidRPr="00685A4E" w:rsidR="00394DDD" w:rsidP="00685A4E" w:rsidRDefault="00394DDD" w14:paraId="4CF40820" w14:textId="77777777">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3. Datos generados a partir de los objetivos propuestos a lo largo del plan de trabajo del estudio: estudio genético completo.</w:t>
      </w:r>
    </w:p>
    <w:p w:rsidRPr="00685A4E" w:rsidR="00394DDD" w:rsidP="00685A4E" w:rsidRDefault="00394DDD" w14:paraId="48E89BED" w14:textId="77777777">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4. Todos los datos serán codificados, y sólo se recogerán los necesarios para la consecución de los objetivos de la investigación.</w:t>
      </w:r>
    </w:p>
    <w:p w:rsidRPr="00685A4E" w:rsidR="00394DDD" w:rsidP="00685A4E" w:rsidRDefault="00394DDD" w14:paraId="1EB2A6F2" w14:textId="77777777">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Acceso a los datos:</w:t>
      </w:r>
    </w:p>
    <w:p w:rsidRPr="00685A4E" w:rsidR="00394DDD" w:rsidP="00685A4E" w:rsidRDefault="00394DDD" w14:paraId="46BB4F35" w14:textId="77777777">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 xml:space="preserve">1. Las variables clínicas necesarias para la realización del estudio se obtendrán de la historia clínica del centro, y posteriormente tendrán un proceso de codificación y </w:t>
      </w:r>
      <w:proofErr w:type="spellStart"/>
      <w:r w:rsidRPr="00685A4E">
        <w:rPr>
          <w:rFonts w:asciiTheme="minorHAnsi" w:hAnsiTheme="minorHAnsi" w:cstheme="minorHAnsi"/>
          <w:color w:val="auto"/>
          <w:sz w:val="20"/>
          <w:szCs w:val="20"/>
        </w:rPr>
        <w:t>seudonimización</w:t>
      </w:r>
      <w:proofErr w:type="spellEnd"/>
      <w:r w:rsidRPr="00685A4E">
        <w:rPr>
          <w:rFonts w:asciiTheme="minorHAnsi" w:hAnsiTheme="minorHAnsi" w:cstheme="minorHAnsi"/>
          <w:color w:val="auto"/>
          <w:sz w:val="20"/>
          <w:szCs w:val="20"/>
        </w:rPr>
        <w:t>, de acuerdo con lo dispuesto en los artículos 6.e), 9.2. j) + 89 RGPD, así como la disposición adicional 17.2.d de la LOPD-GDD. Solo después, los investigadores del presente proyecto tendrán acceso a ellos.</w:t>
      </w:r>
    </w:p>
    <w:p w:rsidRPr="00685A4E" w:rsidR="00394DDD" w:rsidP="00685A4E" w:rsidRDefault="00394DDD" w14:paraId="1ADA6E10" w14:textId="77777777">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 xml:space="preserve">2. Los investigadores básicos recibirán muestras de los pacientes codificados y </w:t>
      </w:r>
      <w:proofErr w:type="spellStart"/>
      <w:r w:rsidRPr="00685A4E">
        <w:rPr>
          <w:rFonts w:asciiTheme="minorHAnsi" w:hAnsiTheme="minorHAnsi" w:cstheme="minorHAnsi"/>
          <w:color w:val="auto"/>
          <w:sz w:val="20"/>
          <w:szCs w:val="20"/>
        </w:rPr>
        <w:t>seudonimizados</w:t>
      </w:r>
      <w:proofErr w:type="spellEnd"/>
      <w:r w:rsidRPr="00685A4E">
        <w:rPr>
          <w:rFonts w:asciiTheme="minorHAnsi" w:hAnsiTheme="minorHAnsi" w:cstheme="minorHAnsi"/>
          <w:color w:val="auto"/>
          <w:sz w:val="20"/>
          <w:szCs w:val="20"/>
        </w:rPr>
        <w:t>, y se realizará la correlación y asociación entre los datos clínicos y experimentales en base al código alfanumérico establecido.</w:t>
      </w:r>
    </w:p>
    <w:p w:rsidRPr="00685A4E" w:rsidR="00394DDD" w:rsidP="00685A4E" w:rsidRDefault="00394DDD" w14:paraId="48BD0C11" w14:textId="4A9EA250">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 xml:space="preserve">3. </w:t>
      </w:r>
      <w:r w:rsidRPr="00685A4E" w:rsidR="00572025">
        <w:rPr>
          <w:rFonts w:asciiTheme="minorHAnsi" w:hAnsiTheme="minorHAnsi" w:cstheme="minorHAnsi"/>
          <w:color w:val="424242"/>
          <w:sz w:val="20"/>
          <w:szCs w:val="20"/>
          <w:shd w:val="clear" w:color="auto" w:fill="FFFFFF"/>
        </w:rPr>
        <w:t xml:space="preserve">El hospital en el que el paciente esté recibiendo asistencia sanitaria </w:t>
      </w:r>
      <w:r w:rsidRPr="00685A4E">
        <w:rPr>
          <w:rFonts w:asciiTheme="minorHAnsi" w:hAnsiTheme="minorHAnsi" w:cstheme="minorHAnsi"/>
          <w:color w:val="auto"/>
          <w:sz w:val="20"/>
          <w:szCs w:val="20"/>
        </w:rPr>
        <w:t xml:space="preserve">actúa como responsable del tratamiento de datos en el marco de este estudio observacional. </w:t>
      </w:r>
      <w:r w:rsidRPr="00685A4E" w:rsidR="00EA4A71">
        <w:rPr>
          <w:rFonts w:asciiTheme="minorHAnsi" w:hAnsiTheme="minorHAnsi" w:cstheme="minorHAnsi"/>
          <w:color w:val="424242"/>
          <w:sz w:val="20"/>
          <w:szCs w:val="20"/>
          <w:shd w:val="clear" w:color="auto" w:fill="FFFFFF"/>
        </w:rPr>
        <w:t>El contacto del delegado de protección de datos e</w:t>
      </w:r>
      <w:r w:rsidRPr="00685A4E" w:rsidR="007D41C4">
        <w:rPr>
          <w:rFonts w:asciiTheme="minorHAnsi" w:hAnsiTheme="minorHAnsi" w:cstheme="minorHAnsi"/>
          <w:color w:val="424242"/>
          <w:sz w:val="20"/>
          <w:szCs w:val="20"/>
          <w:shd w:val="clear" w:color="auto" w:fill="FFFFFF"/>
        </w:rPr>
        <w:t xml:space="preserve">n este centro es </w:t>
      </w:r>
      <w:hyperlink w:tgtFrame="_blank" w:history="1" r:id="rId14">
        <w:r w:rsidRPr="00685A4E" w:rsidR="00EA4A71">
          <w:rPr>
            <w:rStyle w:val="Hipervnculo"/>
            <w:rFonts w:asciiTheme="minorHAnsi" w:hAnsiTheme="minorHAnsi" w:cstheme="minorHAnsi"/>
            <w:sz w:val="20"/>
            <w:szCs w:val="20"/>
            <w:bdr w:val="none" w:color="auto" w:sz="0" w:space="0" w:frame="1"/>
            <w:shd w:val="clear" w:color="auto" w:fill="FFFFFF"/>
          </w:rPr>
          <w:t>dpo@fjd.es</w:t>
        </w:r>
      </w:hyperlink>
      <w:r w:rsidRPr="00685A4E" w:rsidR="00EA4A71">
        <w:rPr>
          <w:rFonts w:asciiTheme="minorHAnsi" w:hAnsiTheme="minorHAnsi" w:cstheme="minorHAnsi"/>
          <w:sz w:val="20"/>
          <w:szCs w:val="20"/>
        </w:rPr>
        <w:t>.</w:t>
      </w:r>
    </w:p>
    <w:p w:rsidRPr="00685A4E" w:rsidR="00394DDD" w:rsidP="00685A4E" w:rsidRDefault="00394DDD" w14:paraId="1784C11E" w14:textId="77777777">
      <w:pPr>
        <w:pStyle w:val="Default"/>
        <w:jc w:val="both"/>
        <w:rPr>
          <w:rFonts w:asciiTheme="minorHAnsi" w:hAnsiTheme="minorHAnsi" w:cstheme="minorHAnsi"/>
          <w:color w:val="auto"/>
          <w:sz w:val="20"/>
          <w:szCs w:val="20"/>
        </w:rPr>
      </w:pPr>
      <w:r w:rsidRPr="00685A4E">
        <w:rPr>
          <w:rFonts w:asciiTheme="minorHAnsi" w:hAnsiTheme="minorHAnsi" w:cstheme="minorHAnsi"/>
          <w:color w:val="auto"/>
          <w:sz w:val="20"/>
          <w:szCs w:val="20"/>
        </w:rPr>
        <w:t>Procedimiento para garantizar los requisitos éticos y legales específicos de la recogida y acceso a los datos:</w:t>
      </w:r>
    </w:p>
    <w:p w:rsidRPr="00685A4E" w:rsidR="00394DDD" w:rsidP="00685A4E" w:rsidRDefault="00394DDD" w14:paraId="79FCDF53" w14:textId="77777777">
      <w:pPr>
        <w:pStyle w:val="Default"/>
        <w:jc w:val="both"/>
        <w:rPr>
          <w:rFonts w:asciiTheme="minorHAnsi" w:hAnsiTheme="minorHAnsi" w:cstheme="minorHAnsi"/>
          <w:color w:val="auto"/>
          <w:sz w:val="20"/>
          <w:szCs w:val="20"/>
        </w:rPr>
      </w:pPr>
    </w:p>
    <w:p w:rsidRPr="00685A4E" w:rsidR="00E263C8" w:rsidP="00685A4E" w:rsidRDefault="00255610" w14:paraId="7510633E"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11</w:t>
      </w:r>
      <w:r w:rsidRPr="00685A4E" w:rsidR="00E263C8">
        <w:rPr>
          <w:rFonts w:asciiTheme="minorHAnsi" w:hAnsiTheme="minorHAnsi" w:cstheme="minorHAnsi"/>
          <w:b/>
          <w:bCs/>
          <w:color w:val="auto"/>
          <w:sz w:val="20"/>
          <w:szCs w:val="20"/>
        </w:rPr>
        <w:tab/>
      </w:r>
      <w:proofErr w:type="gramStart"/>
      <w:r w:rsidRPr="00685A4E" w:rsidR="00E263C8">
        <w:rPr>
          <w:rFonts w:asciiTheme="minorHAnsi" w:hAnsiTheme="minorHAnsi" w:cstheme="minorHAnsi"/>
          <w:b/>
          <w:bCs/>
          <w:color w:val="auto"/>
          <w:sz w:val="20"/>
          <w:szCs w:val="20"/>
        </w:rPr>
        <w:t>Tratamiento</w:t>
      </w:r>
      <w:proofErr w:type="gramEnd"/>
      <w:r w:rsidRPr="00685A4E" w:rsidR="00E263C8">
        <w:rPr>
          <w:rFonts w:asciiTheme="minorHAnsi" w:hAnsiTheme="minorHAnsi" w:cstheme="minorHAnsi"/>
          <w:b/>
          <w:bCs/>
          <w:color w:val="auto"/>
          <w:sz w:val="20"/>
          <w:szCs w:val="20"/>
        </w:rPr>
        <w:t xml:space="preserve"> de los Datos y Archivo de los Registros. Confidencialidad de los datos. </w:t>
      </w:r>
    </w:p>
    <w:p w:rsidRPr="00685A4E" w:rsidR="005119C9" w:rsidP="00685A4E" w:rsidRDefault="005119C9" w14:paraId="10BC378A" w14:textId="77777777">
      <w:pPr>
        <w:autoSpaceDE w:val="0"/>
        <w:autoSpaceDN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El tratamiento,</w:t>
      </w:r>
      <w:r w:rsidRPr="00685A4E" w:rsidR="00D46CDA">
        <w:rPr>
          <w:rFonts w:asciiTheme="minorHAnsi" w:hAnsiTheme="minorHAnsi" w:cstheme="minorHAnsi"/>
          <w:color w:val="000000"/>
          <w:sz w:val="20"/>
          <w:lang w:val="es-ES"/>
        </w:rPr>
        <w:t xml:space="preserve"> almacenamiento,</w:t>
      </w:r>
      <w:r w:rsidRPr="00685A4E">
        <w:rPr>
          <w:rFonts w:asciiTheme="minorHAnsi" w:hAnsiTheme="minorHAnsi" w:cstheme="minorHAnsi"/>
          <w:color w:val="000000"/>
          <w:sz w:val="20"/>
          <w:lang w:val="es-ES"/>
        </w:rPr>
        <w:t xml:space="preserve"> comunicación y cesión de los datos personales de todos los participantes se ajustará al Reglamento UE 2016/679 del Parlamento Europeo y del Consejo, de 27 de abril de 2016, relativo a la protección de las personas físicas en lo que respecta al tratamiento de datos personales y a la libre circulación de datos, y a la Ley Orgánica 3/2018, de 5 de diciembre, de Protección de Datos Personales y garantía de los derechos digitales. La base legal que justifica el tratamiento de tus datos es el consentimiento que prestas en este acto, de conformidad con lo dispuesto en el artículo 9 del Reglamento UE 2016/679.</w:t>
      </w:r>
    </w:p>
    <w:p w:rsidRPr="00685A4E" w:rsidR="005119C9" w:rsidP="00685A4E" w:rsidRDefault="005119C9" w14:paraId="1FAB5FE8" w14:textId="77777777">
      <w:pPr>
        <w:autoSpaceDE w:val="0"/>
        <w:autoSpaceDN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Los datos recogidos para estos estudios se recogerán identificados únicamente mediante un código, por lo que no se incluirá información que permita identificar a los participantes. Únicamente el médico del estudio y sus colaboradores con derecho de acceso a los datos fuente (historia clínica), podrán relacionar los datos recogidos en el estudio con la historia clínica del paciente.</w:t>
      </w:r>
    </w:p>
    <w:p w:rsidRPr="00685A4E" w:rsidR="005119C9" w:rsidP="00685A4E" w:rsidRDefault="005119C9" w14:paraId="0C8B18A8" w14:textId="77777777">
      <w:pPr>
        <w:autoSpaceDE w:val="0"/>
        <w:autoSpaceDN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La identidad de los participantes no será accesible a ninguna otra persona excepto por una emergencia médica o requerimiento legal. Las autoridades sanitarias, el Comité de Ética de la Investigación y el personal autorizado por el promotor del estudio podrán tener acceso a los datos personales identificados, cuando sea necesario para verificar los datos y procedimientos del estudio, pero siempre manteniendo la confidencialidad de acuerdo con la legislación vigente.</w:t>
      </w:r>
    </w:p>
    <w:p w:rsidRPr="00685A4E" w:rsidR="005119C9" w:rsidP="00685A4E" w:rsidRDefault="005119C9" w14:paraId="4F3DA28C" w14:textId="77777777">
      <w:pPr>
        <w:autoSpaceDE w:val="0"/>
        <w:autoSpaceDN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Únicamente se transferirán a terceros y otros países los datos cifrados, que en ningún caso contendrán información que pueda identificar directamente al participante (como nombre y apellidos, iniciales, dirección, número de la seguridad social, etc.). En el caso de que se produzca esta cesión, sería con la misma finalidad del estudio descrito y garantizando la confidencialidad.</w:t>
      </w:r>
    </w:p>
    <w:p w:rsidRPr="00685A4E" w:rsidR="005119C9" w:rsidP="00685A4E" w:rsidRDefault="005119C9" w14:paraId="0A91B393" w14:textId="77777777">
      <w:pPr>
        <w:autoSpaceDE w:val="0"/>
        <w:autoSpaceDN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 xml:space="preserve">Si se realiza una transferencia de datos cifrados fuera de la UE, ya sea en entidades vinculadas al centro hospitalario donde participa el paciente, a proveedores de servicios o a investigadores que colaboran con nosotros, los datos de los participantes estarán protegidos por garantías como contratos </w:t>
      </w:r>
      <w:proofErr w:type="spellStart"/>
      <w:r w:rsidRPr="00685A4E">
        <w:rPr>
          <w:rFonts w:asciiTheme="minorHAnsi" w:hAnsiTheme="minorHAnsi" w:cstheme="minorHAnsi"/>
          <w:color w:val="000000"/>
          <w:sz w:val="20"/>
          <w:lang w:val="es-ES"/>
        </w:rPr>
        <w:t>o</w:t>
      </w:r>
      <w:proofErr w:type="spellEnd"/>
      <w:r w:rsidRPr="00685A4E">
        <w:rPr>
          <w:rFonts w:asciiTheme="minorHAnsi" w:hAnsiTheme="minorHAnsi" w:cstheme="minorHAnsi"/>
          <w:color w:val="000000"/>
          <w:sz w:val="20"/>
          <w:lang w:val="es-ES"/>
        </w:rPr>
        <w:t xml:space="preserve"> otros mecanismos establecidos por las autoridades de protección de datos.</w:t>
      </w:r>
    </w:p>
    <w:p w:rsidRPr="00685A4E" w:rsidR="005119C9" w:rsidP="00685A4E" w:rsidRDefault="005119C9" w14:paraId="12A2B24C" w14:textId="42C5AD4E">
      <w:pPr>
        <w:autoSpaceDE w:val="0"/>
        <w:autoSpaceDN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Como promotores del proyecto, nos comprometemos a tratar los datos de acuerdo con el Reglamento UE 2016/679 y, por tanto, a llevar un registro de las actividades de tratamiento que realizamos y a realizar una evaluación de riesgos de los tratamientos que realizamos. para saber qué medidas tendremos que aplicar y cómo hacerlo.</w:t>
      </w:r>
    </w:p>
    <w:p w:rsidRPr="00685A4E" w:rsidR="005119C9" w:rsidP="00685A4E" w:rsidRDefault="005119C9" w14:paraId="069EC150" w14:textId="77777777">
      <w:pPr>
        <w:autoSpaceDE w:val="0"/>
        <w:autoSpaceDN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Además de los derechos que ya contemplaba la legislación anterior (acceso, modificación, oposición y cancelación de datos, supresión en el nuevo Reglamento) ahora los participantes también pueden limitar el tratamiento de los datos recogidos para el proyecto que sea incorrecto, solicitar una copia o transferido a un tercero (portabilidad). Para ejercer estos derechos, deberán contactar con los investigadores principales del estudio. También tienen derecho a dirigirse a la Agencia de Protección de Datos si no están satisfechos.</w:t>
      </w:r>
    </w:p>
    <w:p w:rsidRPr="00685A4E" w:rsidR="005119C9" w:rsidP="00685A4E" w:rsidRDefault="005119C9" w14:paraId="136ADA47" w14:textId="77777777">
      <w:pPr>
        <w:autoSpaceDE w:val="0"/>
        <w:autoSpaceDN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Los datos no se pueden eliminar, incluso si un paciente se retira del estudio, para garantizar la validez de la investigación y cumplir con las obligaciones legales y los requisitos de autorización de medicamentos.</w:t>
      </w:r>
    </w:p>
    <w:p w:rsidRPr="00685A4E" w:rsidR="00CB50E5" w:rsidP="00685A4E" w:rsidRDefault="005119C9" w14:paraId="0544A2D3" w14:textId="286FCE77">
      <w:pPr>
        <w:autoSpaceDE w:val="0"/>
        <w:autoSpaceDN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Los investigadores principales y el Promotor conservar</w:t>
      </w:r>
      <w:r w:rsidRPr="00685A4E" w:rsidR="00572025">
        <w:rPr>
          <w:rFonts w:asciiTheme="minorHAnsi" w:hAnsiTheme="minorHAnsi" w:cstheme="minorHAnsi"/>
          <w:color w:val="000000"/>
          <w:sz w:val="20"/>
          <w:lang w:val="es-ES"/>
        </w:rPr>
        <w:t>an</w:t>
      </w:r>
      <w:r w:rsidRPr="00685A4E">
        <w:rPr>
          <w:rFonts w:asciiTheme="minorHAnsi" w:hAnsiTheme="minorHAnsi" w:cstheme="minorHAnsi"/>
          <w:color w:val="000000"/>
          <w:sz w:val="20"/>
          <w:lang w:val="es-ES"/>
        </w:rPr>
        <w:t xml:space="preserve"> los datos recopilados para el estudio durante al menos 10 años después de su finalización. Posteriormente, la información personal sólo será conservada por el centro de salud y por el promotor para otros fines de investigación científica si el paciente ha dado su consentimiento para ello, y si así lo permite la legislación aplicable y los requisitos éticos.</w:t>
      </w:r>
    </w:p>
    <w:p w:rsidRPr="00685A4E" w:rsidR="00CB50E5" w:rsidP="00685A4E" w:rsidRDefault="00CB50E5" w14:paraId="352721A4"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12</w:t>
      </w:r>
      <w:r w:rsidRPr="00685A4E">
        <w:rPr>
          <w:rFonts w:asciiTheme="minorHAnsi" w:hAnsiTheme="minorHAnsi" w:cstheme="minorHAnsi"/>
          <w:b/>
          <w:bCs/>
          <w:color w:val="auto"/>
          <w:sz w:val="20"/>
          <w:szCs w:val="20"/>
        </w:rPr>
        <w:tab/>
      </w:r>
      <w:proofErr w:type="gramStart"/>
      <w:r w:rsidRPr="00685A4E">
        <w:rPr>
          <w:rFonts w:asciiTheme="minorHAnsi" w:hAnsiTheme="minorHAnsi" w:cstheme="minorHAnsi"/>
          <w:b/>
          <w:bCs/>
          <w:color w:val="auto"/>
          <w:sz w:val="20"/>
          <w:szCs w:val="20"/>
        </w:rPr>
        <w:t>Gestión</w:t>
      </w:r>
      <w:proofErr w:type="gramEnd"/>
      <w:r w:rsidRPr="00685A4E">
        <w:rPr>
          <w:rFonts w:asciiTheme="minorHAnsi" w:hAnsiTheme="minorHAnsi" w:cstheme="minorHAnsi"/>
          <w:b/>
          <w:bCs/>
          <w:color w:val="auto"/>
          <w:sz w:val="20"/>
          <w:szCs w:val="20"/>
        </w:rPr>
        <w:t xml:space="preserve"> de las muestras biológicas </w:t>
      </w:r>
    </w:p>
    <w:p w:rsidRPr="00685A4E" w:rsidR="00CB50E5" w:rsidP="00685A4E" w:rsidRDefault="005119C9" w14:paraId="394251C4" w14:textId="77777777">
      <w:pPr>
        <w:pStyle w:val="Default"/>
        <w:jc w:val="both"/>
        <w:rPr>
          <w:rFonts w:asciiTheme="minorHAnsi" w:hAnsiTheme="minorHAnsi" w:cstheme="minorHAnsi"/>
          <w:sz w:val="20"/>
          <w:szCs w:val="20"/>
        </w:rPr>
      </w:pPr>
      <w:r w:rsidRPr="00685A4E">
        <w:rPr>
          <w:rFonts w:asciiTheme="minorHAnsi" w:hAnsiTheme="minorHAnsi" w:cstheme="minorHAnsi"/>
          <w:sz w:val="20"/>
          <w:szCs w:val="20"/>
        </w:rPr>
        <w:t xml:space="preserve">Todas las muestras se recogerán aprovechando las punciones analíticas definidas por el seguimiento clínico periódico de los pacientes, evitando así la realización de procedimientos innecesarios. De acuerdo con la Ley 14/2007, se recogerán directamente del interesado y se seguirá el procedimiento </w:t>
      </w:r>
      <w:r w:rsidRPr="00685A4E">
        <w:rPr>
          <w:rFonts w:asciiTheme="minorHAnsi" w:hAnsiTheme="minorHAnsi" w:cstheme="minorHAnsi"/>
          <w:sz w:val="20"/>
          <w:szCs w:val="20"/>
        </w:rPr>
        <w:t xml:space="preserve">marcado por la normativa de uso de muestras biológicas para autorizar su uso. Las muestras se enviarán posteriormente a </w:t>
      </w:r>
      <w:proofErr w:type="spellStart"/>
      <w:r w:rsidRPr="00685A4E">
        <w:rPr>
          <w:rFonts w:asciiTheme="minorHAnsi" w:hAnsiTheme="minorHAnsi" w:cstheme="minorHAnsi"/>
          <w:sz w:val="20"/>
          <w:szCs w:val="20"/>
        </w:rPr>
        <w:t>Health</w:t>
      </w:r>
      <w:proofErr w:type="spellEnd"/>
      <w:r w:rsidRPr="00685A4E">
        <w:rPr>
          <w:rFonts w:asciiTheme="minorHAnsi" w:hAnsiTheme="minorHAnsi" w:cstheme="minorHAnsi"/>
          <w:sz w:val="20"/>
          <w:szCs w:val="20"/>
        </w:rPr>
        <w:t xml:space="preserve"> in </w:t>
      </w:r>
      <w:proofErr w:type="spellStart"/>
      <w:r w:rsidRPr="00685A4E">
        <w:rPr>
          <w:rFonts w:asciiTheme="minorHAnsi" w:hAnsiTheme="minorHAnsi" w:cstheme="minorHAnsi"/>
          <w:sz w:val="20"/>
          <w:szCs w:val="20"/>
        </w:rPr>
        <w:t>Code</w:t>
      </w:r>
      <w:proofErr w:type="spellEnd"/>
      <w:r w:rsidRPr="00685A4E">
        <w:rPr>
          <w:rFonts w:asciiTheme="minorHAnsi" w:hAnsiTheme="minorHAnsi" w:cstheme="minorHAnsi"/>
          <w:sz w:val="20"/>
          <w:szCs w:val="20"/>
        </w:rPr>
        <w:t>:</w:t>
      </w:r>
    </w:p>
    <w:p w:rsidRPr="00685A4E" w:rsidR="005119C9" w:rsidP="00685A4E" w:rsidRDefault="005119C9" w14:paraId="4047A717" w14:textId="77777777">
      <w:pPr>
        <w:pStyle w:val="Default"/>
        <w:jc w:val="both"/>
        <w:rPr>
          <w:rFonts w:asciiTheme="minorHAnsi" w:hAnsiTheme="minorHAnsi" w:cstheme="minorHAnsi"/>
          <w:b/>
          <w:bCs/>
          <w:sz w:val="20"/>
          <w:szCs w:val="20"/>
        </w:rPr>
      </w:pPr>
      <w:r w:rsidRPr="00685A4E">
        <w:rPr>
          <w:rFonts w:asciiTheme="minorHAnsi" w:hAnsiTheme="minorHAnsi" w:cstheme="minorHAnsi"/>
          <w:b/>
          <w:bCs/>
          <w:sz w:val="20"/>
          <w:szCs w:val="20"/>
        </w:rPr>
        <w:t>Ley aplicable y políticas generales de gestión de datos:</w:t>
      </w:r>
    </w:p>
    <w:p w:rsidRPr="00685A4E" w:rsidR="005119C9" w:rsidP="00685A4E" w:rsidRDefault="005119C9" w14:paraId="17E203DC"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De conformidad con: REGLAMENTO (UE) 2016/679 DEL PARLAMENTO EUROPEO Y DEL CONSEJO de 27 de abril de 2016 relativo a la protección de las personas físicas en lo que respecta al tratamiento de datos personales y a la libre circulación de estos datos (Reglamento General de Protección de Datos ); Ley Orgánica 3/2018, de 5 de diciembre, de Protección de Datos Personales y garantía de los derechos digitales; Real Decreto 1720/2007, de 21 de diciembre, por el que se aprueba el Reglamento de desarrollo de la Ley Orgánica 15/1999, de 13 de diciembre, de protección de datos de carácter personal; y la Ley 14/2007, de 3 de julio, de investigación biomédica, y en cuanto a su artículo 52:</w:t>
      </w:r>
    </w:p>
    <w:p w:rsidRPr="00685A4E" w:rsidR="005119C9" w:rsidP="00685A4E" w:rsidRDefault="005119C9" w14:paraId="54BAD4FB"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1. Los datos genéticos de carácter personal se conservarán durante un plazo mínimo de cinco años a partir de la fecha en que se hayan obtenido, transcurridos los cuales EL RESPONSABLE (EL CLIENTE), o el interesado, podrá solicitar su cancelación.</w:t>
      </w:r>
    </w:p>
    <w:p w:rsidRPr="00685A4E" w:rsidR="005119C9" w:rsidP="00685A4E" w:rsidRDefault="005119C9" w14:paraId="1E8974A8"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2. A falta de solicitud de EL RESPONSABLE, o del interesado, los datos serán conservados durante el plazo que sea necesario para preservar la salud de la persona de quien procedan o de terceros relacionados con ellos.</w:t>
      </w:r>
    </w:p>
    <w:p w:rsidRPr="00685A4E" w:rsidR="005119C9" w:rsidP="00685A4E" w:rsidRDefault="005119C9" w14:paraId="1A4D11D9"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3. Fuera de estos casos, los datos sólo podrán conservarse, con fines de investigación, de forma anónima, sin que sea posible la identificación del sujeto fuente.</w:t>
      </w:r>
    </w:p>
    <w:p w:rsidRPr="00685A4E" w:rsidR="00CB50E5" w:rsidP="00685A4E" w:rsidRDefault="005119C9" w14:paraId="19B269E2" w14:textId="77777777">
      <w:pPr>
        <w:pStyle w:val="Default"/>
        <w:jc w:val="both"/>
        <w:rPr>
          <w:rFonts w:asciiTheme="minorHAnsi" w:hAnsiTheme="minorHAnsi" w:cstheme="minorHAnsi"/>
          <w:b/>
          <w:bCs/>
          <w:sz w:val="20"/>
          <w:szCs w:val="20"/>
        </w:rPr>
      </w:pPr>
      <w:r w:rsidRPr="00685A4E">
        <w:rPr>
          <w:rFonts w:asciiTheme="minorHAnsi" w:hAnsiTheme="minorHAnsi" w:cstheme="minorHAnsi"/>
          <w:bCs/>
          <w:sz w:val="20"/>
          <w:szCs w:val="20"/>
        </w:rPr>
        <w:t xml:space="preserve">No obstante, </w:t>
      </w:r>
      <w:proofErr w:type="spellStart"/>
      <w:r w:rsidRPr="00685A4E">
        <w:rPr>
          <w:rFonts w:asciiTheme="minorHAnsi" w:hAnsiTheme="minorHAnsi" w:cstheme="minorHAnsi"/>
          <w:bCs/>
          <w:sz w:val="20"/>
          <w:szCs w:val="20"/>
        </w:rPr>
        <w:t>Health</w:t>
      </w:r>
      <w:proofErr w:type="spellEnd"/>
      <w:r w:rsidRPr="00685A4E">
        <w:rPr>
          <w:rFonts w:asciiTheme="minorHAnsi" w:hAnsiTheme="minorHAnsi" w:cstheme="minorHAnsi"/>
          <w:bCs/>
          <w:sz w:val="20"/>
          <w:szCs w:val="20"/>
        </w:rPr>
        <w:t xml:space="preserve"> in </w:t>
      </w:r>
      <w:proofErr w:type="spellStart"/>
      <w:r w:rsidRPr="00685A4E">
        <w:rPr>
          <w:rFonts w:asciiTheme="minorHAnsi" w:hAnsiTheme="minorHAnsi" w:cstheme="minorHAnsi"/>
          <w:bCs/>
          <w:sz w:val="20"/>
          <w:szCs w:val="20"/>
        </w:rPr>
        <w:t>Code</w:t>
      </w:r>
      <w:proofErr w:type="spellEnd"/>
      <w:r w:rsidRPr="00685A4E">
        <w:rPr>
          <w:rFonts w:asciiTheme="minorHAnsi" w:hAnsiTheme="minorHAnsi" w:cstheme="minorHAnsi"/>
          <w:bCs/>
          <w:sz w:val="20"/>
          <w:szCs w:val="20"/>
        </w:rPr>
        <w:t xml:space="preserve"> podrá conservar una copia, con los datos debidamente bloqueados, mientras se deriven responsabilidades por la ejecución del servicio.</w:t>
      </w:r>
    </w:p>
    <w:p w:rsidRPr="00685A4E" w:rsidR="005119C9" w:rsidP="00685A4E" w:rsidRDefault="005119C9" w14:paraId="6C94B17B" w14:textId="77777777">
      <w:pPr>
        <w:pStyle w:val="Default"/>
        <w:jc w:val="both"/>
        <w:rPr>
          <w:rFonts w:asciiTheme="minorHAnsi" w:hAnsiTheme="minorHAnsi" w:cstheme="minorHAnsi"/>
          <w:b/>
          <w:bCs/>
          <w:sz w:val="20"/>
          <w:szCs w:val="20"/>
        </w:rPr>
      </w:pPr>
      <w:r w:rsidRPr="00685A4E">
        <w:rPr>
          <w:rFonts w:asciiTheme="minorHAnsi" w:hAnsiTheme="minorHAnsi" w:cstheme="minorHAnsi"/>
          <w:b/>
          <w:bCs/>
          <w:sz w:val="20"/>
          <w:szCs w:val="20"/>
        </w:rPr>
        <w:t>Archivos bioinformáticos:</w:t>
      </w:r>
    </w:p>
    <w:p w:rsidRPr="00685A4E" w:rsidR="005119C9" w:rsidP="00685A4E" w:rsidRDefault="005119C9" w14:paraId="1F69A63C"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xml:space="preserve">La política de retención y eliminación de registros genéticos de </w:t>
      </w:r>
      <w:proofErr w:type="spellStart"/>
      <w:r w:rsidRPr="00685A4E">
        <w:rPr>
          <w:rFonts w:asciiTheme="minorHAnsi" w:hAnsiTheme="minorHAnsi" w:cstheme="minorHAnsi"/>
          <w:bCs/>
          <w:sz w:val="20"/>
          <w:szCs w:val="20"/>
        </w:rPr>
        <w:t>Health</w:t>
      </w:r>
      <w:proofErr w:type="spellEnd"/>
      <w:r w:rsidRPr="00685A4E">
        <w:rPr>
          <w:rFonts w:asciiTheme="minorHAnsi" w:hAnsiTheme="minorHAnsi" w:cstheme="minorHAnsi"/>
          <w:bCs/>
          <w:sz w:val="20"/>
          <w:szCs w:val="20"/>
        </w:rPr>
        <w:t xml:space="preserve"> in </w:t>
      </w:r>
      <w:proofErr w:type="spellStart"/>
      <w:r w:rsidRPr="00685A4E">
        <w:rPr>
          <w:rFonts w:asciiTheme="minorHAnsi" w:hAnsiTheme="minorHAnsi" w:cstheme="minorHAnsi"/>
          <w:bCs/>
          <w:sz w:val="20"/>
          <w:szCs w:val="20"/>
        </w:rPr>
        <w:t>Code</w:t>
      </w:r>
      <w:proofErr w:type="spellEnd"/>
      <w:r w:rsidRPr="00685A4E">
        <w:rPr>
          <w:rFonts w:asciiTheme="minorHAnsi" w:hAnsiTheme="minorHAnsi" w:cstheme="minorHAnsi"/>
          <w:bCs/>
          <w:sz w:val="20"/>
          <w:szCs w:val="20"/>
        </w:rPr>
        <w:t xml:space="preserve"> establece que los datos sin procesar de secuenciación recopilados de nuestra plataforma NGS (archivos BCL) se conservan durante un período mínimo de retención de 5 años, mientras que los archivos FASTQ procesados </w:t>
      </w:r>
      <w:proofErr w:type="spellStart"/>
      <w:r w:rsidRPr="00685A4E">
        <w:rPr>
          <w:rFonts w:asciiTheme="minorHAnsi" w:hAnsiTheme="minorHAnsi" w:cstheme="minorHAnsi"/>
          <w:bCs/>
          <w:sz w:val="20"/>
          <w:szCs w:val="20"/>
        </w:rPr>
        <w:t>bioinformáticamente</w:t>
      </w:r>
      <w:proofErr w:type="spellEnd"/>
      <w:r w:rsidRPr="00685A4E">
        <w:rPr>
          <w:rFonts w:asciiTheme="minorHAnsi" w:hAnsiTheme="minorHAnsi" w:cstheme="minorHAnsi"/>
          <w:bCs/>
          <w:sz w:val="20"/>
          <w:szCs w:val="20"/>
        </w:rPr>
        <w:t xml:space="preserve"> se almacenan durante un período mínimo de 1 año. Siguiendo la misma política, nuestros informes clínicos se archivan para una retención mínima de 5 años y se almacenan tanto en papel como en versión digital. Todos los datos bioinformáticos intermedios (principalmente alineaciones) también se conservan durante un mínimo de 5 años.</w:t>
      </w:r>
    </w:p>
    <w:p w:rsidRPr="00685A4E" w:rsidR="00CB50E5" w:rsidP="00685A4E" w:rsidRDefault="005119C9" w14:paraId="331B0AAA"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xml:space="preserve">Aunque nuestra política enfatiza la relevancia de almacenar archivos BCL por más tiempo en lugar de FASTQ; se debe considerar que los archivos FASTQ se pueden volver a generar siempre y cuando mantengamos los archivos BCL originales. De hecho, está permitido convertir datos de formato BCL a FASTQ, pero no al contrario. Si se requiere </w:t>
      </w:r>
      <w:proofErr w:type="gramStart"/>
      <w:r w:rsidRPr="00685A4E">
        <w:rPr>
          <w:rFonts w:asciiTheme="minorHAnsi" w:hAnsiTheme="minorHAnsi" w:cstheme="minorHAnsi"/>
          <w:bCs/>
          <w:sz w:val="20"/>
          <w:szCs w:val="20"/>
        </w:rPr>
        <w:t>el reprocesamiento</w:t>
      </w:r>
      <w:proofErr w:type="gramEnd"/>
      <w:r w:rsidRPr="00685A4E">
        <w:rPr>
          <w:rFonts w:asciiTheme="minorHAnsi" w:hAnsiTheme="minorHAnsi" w:cstheme="minorHAnsi"/>
          <w:bCs/>
          <w:sz w:val="20"/>
          <w:szCs w:val="20"/>
        </w:rPr>
        <w:t xml:space="preserve"> de datos, se recomienda almacenar archivos BCL, ya que son el resultado principal de la secuenciación.</w:t>
      </w:r>
    </w:p>
    <w:tbl>
      <w:tblPr>
        <w:tblStyle w:val="Tablaconcuadrcula"/>
        <w:tblW w:w="0" w:type="auto"/>
        <w:tblLook w:val="04A0" w:firstRow="1" w:lastRow="0" w:firstColumn="1" w:lastColumn="0" w:noHBand="0" w:noVBand="1"/>
      </w:tblPr>
      <w:tblGrid>
        <w:gridCol w:w="1686"/>
        <w:gridCol w:w="2916"/>
        <w:gridCol w:w="2121"/>
      </w:tblGrid>
      <w:tr w:rsidRPr="00685A4E" w:rsidR="00CB50E5" w:rsidTr="00C235C3" w14:paraId="4153C0EF" w14:textId="77777777">
        <w:tc>
          <w:tcPr>
            <w:tcW w:w="0" w:type="auto"/>
            <w:hideMark/>
          </w:tcPr>
          <w:p w:rsidRPr="00685A4E" w:rsidR="00CB50E5" w:rsidP="00685A4E" w:rsidRDefault="005119C9" w14:paraId="2F74DE72" w14:textId="77777777">
            <w:pPr>
              <w:pStyle w:val="Default"/>
              <w:jc w:val="both"/>
              <w:rPr>
                <w:rFonts w:asciiTheme="minorHAnsi" w:hAnsiTheme="minorHAnsi" w:cstheme="minorHAnsi"/>
                <w:bCs/>
                <w:sz w:val="20"/>
                <w:szCs w:val="20"/>
                <w:lang w:eastAsia="es-ES"/>
              </w:rPr>
            </w:pPr>
            <w:r w:rsidRPr="00685A4E">
              <w:rPr>
                <w:rFonts w:asciiTheme="minorHAnsi" w:hAnsiTheme="minorHAnsi" w:cstheme="minorHAnsi"/>
                <w:b/>
                <w:bCs/>
                <w:sz w:val="20"/>
                <w:szCs w:val="20"/>
                <w:lang w:eastAsia="es-ES"/>
              </w:rPr>
              <w:t>Formato de datos</w:t>
            </w:r>
          </w:p>
        </w:tc>
        <w:tc>
          <w:tcPr>
            <w:tcW w:w="0" w:type="auto"/>
            <w:hideMark/>
          </w:tcPr>
          <w:p w:rsidRPr="00685A4E" w:rsidR="00CB50E5" w:rsidP="00685A4E" w:rsidRDefault="005119C9" w14:paraId="31868837" w14:textId="77777777">
            <w:pPr>
              <w:pStyle w:val="Default"/>
              <w:jc w:val="both"/>
              <w:rPr>
                <w:rFonts w:asciiTheme="minorHAnsi" w:hAnsiTheme="minorHAnsi" w:cstheme="minorHAnsi"/>
                <w:bCs/>
                <w:sz w:val="20"/>
                <w:szCs w:val="20"/>
                <w:lang w:eastAsia="es-ES"/>
              </w:rPr>
            </w:pPr>
            <w:r w:rsidRPr="00685A4E">
              <w:rPr>
                <w:rFonts w:asciiTheme="minorHAnsi" w:hAnsiTheme="minorHAnsi" w:cstheme="minorHAnsi"/>
                <w:b/>
                <w:bCs/>
                <w:sz w:val="20"/>
                <w:szCs w:val="20"/>
                <w:lang w:eastAsia="es-ES"/>
              </w:rPr>
              <w:t>Tiempo mínimo de conservación</w:t>
            </w:r>
          </w:p>
        </w:tc>
        <w:tc>
          <w:tcPr>
            <w:tcW w:w="0" w:type="auto"/>
            <w:hideMark/>
          </w:tcPr>
          <w:p w:rsidRPr="00685A4E" w:rsidR="00CB50E5" w:rsidP="00685A4E" w:rsidRDefault="005119C9" w14:paraId="112486CA" w14:textId="77777777">
            <w:pPr>
              <w:pStyle w:val="Default"/>
              <w:jc w:val="both"/>
              <w:rPr>
                <w:rFonts w:asciiTheme="minorHAnsi" w:hAnsiTheme="minorHAnsi" w:cstheme="minorHAnsi"/>
                <w:bCs/>
                <w:sz w:val="20"/>
                <w:szCs w:val="20"/>
                <w:lang w:eastAsia="es-ES"/>
              </w:rPr>
            </w:pPr>
            <w:r w:rsidRPr="00685A4E">
              <w:rPr>
                <w:rFonts w:asciiTheme="minorHAnsi" w:hAnsiTheme="minorHAnsi" w:cstheme="minorHAnsi"/>
                <w:b/>
                <w:bCs/>
                <w:sz w:val="20"/>
                <w:szCs w:val="20"/>
                <w:lang w:eastAsia="es-ES"/>
              </w:rPr>
              <w:t>Recuperación</w:t>
            </w:r>
          </w:p>
        </w:tc>
      </w:tr>
      <w:tr w:rsidRPr="00685A4E" w:rsidR="00CB50E5" w:rsidTr="00C235C3" w14:paraId="09E6D0B9" w14:textId="77777777">
        <w:tc>
          <w:tcPr>
            <w:tcW w:w="0" w:type="auto"/>
            <w:hideMark/>
          </w:tcPr>
          <w:p w:rsidRPr="00685A4E" w:rsidR="00CB50E5" w:rsidP="00685A4E" w:rsidRDefault="00CB50E5" w14:paraId="451D6A97" w14:textId="77777777">
            <w:pPr>
              <w:pStyle w:val="Default"/>
              <w:jc w:val="both"/>
              <w:rPr>
                <w:rFonts w:asciiTheme="minorHAnsi" w:hAnsiTheme="minorHAnsi" w:cstheme="minorHAnsi"/>
                <w:bCs/>
                <w:sz w:val="20"/>
                <w:szCs w:val="20"/>
                <w:lang w:eastAsia="es-ES"/>
              </w:rPr>
            </w:pPr>
            <w:r w:rsidRPr="00685A4E">
              <w:rPr>
                <w:rFonts w:asciiTheme="minorHAnsi" w:hAnsiTheme="minorHAnsi" w:cstheme="minorHAnsi"/>
                <w:bCs/>
                <w:sz w:val="20"/>
                <w:szCs w:val="20"/>
                <w:lang w:eastAsia="es-ES"/>
              </w:rPr>
              <w:t>BCL</w:t>
            </w:r>
          </w:p>
        </w:tc>
        <w:tc>
          <w:tcPr>
            <w:tcW w:w="0" w:type="auto"/>
            <w:hideMark/>
          </w:tcPr>
          <w:p w:rsidRPr="00685A4E" w:rsidR="00CB50E5" w:rsidP="00685A4E" w:rsidRDefault="00CB50E5" w14:paraId="148EED90" w14:textId="77777777">
            <w:pPr>
              <w:pStyle w:val="Default"/>
              <w:jc w:val="both"/>
              <w:rPr>
                <w:rFonts w:asciiTheme="minorHAnsi" w:hAnsiTheme="minorHAnsi" w:cstheme="minorHAnsi"/>
                <w:bCs/>
                <w:sz w:val="20"/>
                <w:szCs w:val="20"/>
                <w:lang w:eastAsia="es-ES"/>
              </w:rPr>
            </w:pPr>
            <w:r w:rsidRPr="00685A4E">
              <w:rPr>
                <w:rFonts w:asciiTheme="minorHAnsi" w:hAnsiTheme="minorHAnsi" w:cstheme="minorHAnsi"/>
                <w:bCs/>
                <w:sz w:val="20"/>
                <w:szCs w:val="20"/>
                <w:lang w:eastAsia="es-ES"/>
              </w:rPr>
              <w:t xml:space="preserve">5 </w:t>
            </w:r>
            <w:r w:rsidRPr="00685A4E" w:rsidR="00891D18">
              <w:rPr>
                <w:rFonts w:asciiTheme="minorHAnsi" w:hAnsiTheme="minorHAnsi" w:cstheme="minorHAnsi"/>
                <w:bCs/>
                <w:sz w:val="20"/>
                <w:szCs w:val="20"/>
                <w:lang w:eastAsia="es-ES"/>
              </w:rPr>
              <w:t>años</w:t>
            </w:r>
          </w:p>
        </w:tc>
        <w:tc>
          <w:tcPr>
            <w:tcW w:w="0" w:type="auto"/>
            <w:hideMark/>
          </w:tcPr>
          <w:p w:rsidRPr="00685A4E" w:rsidR="00CB50E5" w:rsidP="00685A4E" w:rsidRDefault="00891D18" w14:paraId="4A3C6476" w14:textId="77777777">
            <w:pPr>
              <w:pStyle w:val="Default"/>
              <w:jc w:val="both"/>
              <w:rPr>
                <w:rFonts w:asciiTheme="minorHAnsi" w:hAnsiTheme="minorHAnsi" w:cstheme="minorHAnsi"/>
                <w:bCs/>
                <w:sz w:val="20"/>
                <w:szCs w:val="20"/>
                <w:lang w:val="en-US" w:eastAsia="es-ES"/>
              </w:rPr>
            </w:pPr>
            <w:r w:rsidRPr="00685A4E">
              <w:rPr>
                <w:rFonts w:asciiTheme="minorHAnsi" w:hAnsiTheme="minorHAnsi" w:cstheme="minorHAnsi"/>
                <w:bCs/>
                <w:sz w:val="20"/>
                <w:szCs w:val="20"/>
                <w:lang w:val="en-US" w:eastAsia="es-ES"/>
              </w:rPr>
              <w:t xml:space="preserve">Una </w:t>
            </w:r>
            <w:proofErr w:type="spellStart"/>
            <w:r w:rsidRPr="00685A4E">
              <w:rPr>
                <w:rFonts w:asciiTheme="minorHAnsi" w:hAnsiTheme="minorHAnsi" w:cstheme="minorHAnsi"/>
                <w:bCs/>
                <w:sz w:val="20"/>
                <w:szCs w:val="20"/>
                <w:lang w:val="en-US" w:eastAsia="es-ES"/>
              </w:rPr>
              <w:t>copia</w:t>
            </w:r>
            <w:proofErr w:type="spellEnd"/>
            <w:r w:rsidRPr="00685A4E">
              <w:rPr>
                <w:rFonts w:asciiTheme="minorHAnsi" w:hAnsiTheme="minorHAnsi" w:cstheme="minorHAnsi"/>
                <w:bCs/>
                <w:sz w:val="20"/>
                <w:szCs w:val="20"/>
                <w:lang w:val="en-US" w:eastAsia="es-ES"/>
              </w:rPr>
              <w:t xml:space="preserve"> de </w:t>
            </w:r>
            <w:proofErr w:type="spellStart"/>
            <w:r w:rsidRPr="00685A4E">
              <w:rPr>
                <w:rFonts w:asciiTheme="minorHAnsi" w:hAnsiTheme="minorHAnsi" w:cstheme="minorHAnsi"/>
                <w:bCs/>
                <w:sz w:val="20"/>
                <w:szCs w:val="20"/>
                <w:lang w:val="en-US" w:eastAsia="es-ES"/>
              </w:rPr>
              <w:t>seguridad</w:t>
            </w:r>
            <w:proofErr w:type="spellEnd"/>
          </w:p>
        </w:tc>
      </w:tr>
      <w:tr w:rsidRPr="00685A4E" w:rsidR="00CB50E5" w:rsidTr="00C235C3" w14:paraId="5D37964C" w14:textId="77777777">
        <w:tc>
          <w:tcPr>
            <w:tcW w:w="0" w:type="auto"/>
            <w:hideMark/>
          </w:tcPr>
          <w:p w:rsidRPr="00685A4E" w:rsidR="00CB50E5" w:rsidP="00685A4E" w:rsidRDefault="00CB50E5" w14:paraId="76E1F21D" w14:textId="77777777">
            <w:pPr>
              <w:pStyle w:val="Default"/>
              <w:jc w:val="both"/>
              <w:rPr>
                <w:rFonts w:asciiTheme="minorHAnsi" w:hAnsiTheme="minorHAnsi" w:cstheme="minorHAnsi"/>
                <w:bCs/>
                <w:sz w:val="20"/>
                <w:szCs w:val="20"/>
                <w:lang w:eastAsia="es-ES"/>
              </w:rPr>
            </w:pPr>
            <w:r w:rsidRPr="00685A4E">
              <w:rPr>
                <w:rFonts w:asciiTheme="minorHAnsi" w:hAnsiTheme="minorHAnsi" w:cstheme="minorHAnsi"/>
                <w:bCs/>
                <w:sz w:val="20"/>
                <w:szCs w:val="20"/>
                <w:lang w:eastAsia="es-ES"/>
              </w:rPr>
              <w:t>FASTQ</w:t>
            </w:r>
          </w:p>
        </w:tc>
        <w:tc>
          <w:tcPr>
            <w:tcW w:w="0" w:type="auto"/>
            <w:hideMark/>
          </w:tcPr>
          <w:p w:rsidRPr="00685A4E" w:rsidR="00CB50E5" w:rsidP="00685A4E" w:rsidRDefault="00CB50E5" w14:paraId="5512497B" w14:textId="77777777">
            <w:pPr>
              <w:pStyle w:val="Default"/>
              <w:jc w:val="both"/>
              <w:rPr>
                <w:rFonts w:asciiTheme="minorHAnsi" w:hAnsiTheme="minorHAnsi" w:cstheme="minorHAnsi"/>
                <w:bCs/>
                <w:sz w:val="20"/>
                <w:szCs w:val="20"/>
                <w:lang w:eastAsia="es-ES"/>
              </w:rPr>
            </w:pPr>
            <w:r w:rsidRPr="00685A4E">
              <w:rPr>
                <w:rFonts w:asciiTheme="minorHAnsi" w:hAnsiTheme="minorHAnsi" w:cstheme="minorHAnsi"/>
                <w:bCs/>
                <w:sz w:val="20"/>
                <w:szCs w:val="20"/>
                <w:lang w:eastAsia="es-ES"/>
              </w:rPr>
              <w:t xml:space="preserve">1 </w:t>
            </w:r>
            <w:r w:rsidRPr="00685A4E" w:rsidR="00891D18">
              <w:rPr>
                <w:rFonts w:asciiTheme="minorHAnsi" w:hAnsiTheme="minorHAnsi" w:cstheme="minorHAnsi"/>
                <w:bCs/>
                <w:sz w:val="20"/>
                <w:szCs w:val="20"/>
                <w:lang w:eastAsia="es-ES"/>
              </w:rPr>
              <w:t>año</w:t>
            </w:r>
          </w:p>
        </w:tc>
        <w:tc>
          <w:tcPr>
            <w:tcW w:w="0" w:type="auto"/>
            <w:hideMark/>
          </w:tcPr>
          <w:p w:rsidRPr="00685A4E" w:rsidR="00CB50E5" w:rsidP="00685A4E" w:rsidRDefault="00CB50E5" w14:paraId="3999D2C5" w14:textId="77777777">
            <w:pPr>
              <w:pStyle w:val="Default"/>
              <w:jc w:val="both"/>
              <w:rPr>
                <w:rFonts w:asciiTheme="minorHAnsi" w:hAnsiTheme="minorHAnsi" w:cstheme="minorHAnsi"/>
                <w:bCs/>
                <w:sz w:val="20"/>
                <w:szCs w:val="20"/>
                <w:lang w:eastAsia="es-ES"/>
              </w:rPr>
            </w:pPr>
            <w:r w:rsidRPr="00685A4E">
              <w:rPr>
                <w:rFonts w:asciiTheme="minorHAnsi" w:hAnsiTheme="minorHAnsi" w:cstheme="minorHAnsi"/>
                <w:bCs/>
                <w:sz w:val="20"/>
                <w:szCs w:val="20"/>
                <w:lang w:eastAsia="es-ES"/>
              </w:rPr>
              <w:t>N/A*</w:t>
            </w:r>
          </w:p>
        </w:tc>
      </w:tr>
    </w:tbl>
    <w:p w:rsidRPr="00685A4E" w:rsidR="00CB50E5" w:rsidP="00685A4E" w:rsidRDefault="005119C9" w14:paraId="388DCD6F" w14:textId="77777777">
      <w:pPr>
        <w:pStyle w:val="Default"/>
        <w:jc w:val="both"/>
        <w:rPr>
          <w:rFonts w:asciiTheme="minorHAnsi" w:hAnsiTheme="minorHAnsi" w:cstheme="minorHAnsi"/>
          <w:bCs/>
          <w:sz w:val="20"/>
          <w:szCs w:val="20"/>
        </w:rPr>
      </w:pPr>
      <w:r w:rsidRPr="00685A4E">
        <w:rPr>
          <w:rFonts w:asciiTheme="minorHAnsi" w:hAnsiTheme="minorHAnsi" w:cstheme="minorHAnsi"/>
          <w:bCs/>
          <w:i/>
          <w:iCs/>
          <w:sz w:val="20"/>
          <w:szCs w:val="20"/>
        </w:rPr>
        <w:t xml:space="preserve">*Debido a la capacidad de almacenamiento limitada, solo se conservan </w:t>
      </w:r>
      <w:proofErr w:type="spellStart"/>
      <w:r w:rsidRPr="00685A4E">
        <w:rPr>
          <w:rFonts w:asciiTheme="minorHAnsi" w:hAnsiTheme="minorHAnsi" w:cstheme="minorHAnsi"/>
          <w:bCs/>
          <w:i/>
          <w:iCs/>
          <w:sz w:val="20"/>
          <w:szCs w:val="20"/>
        </w:rPr>
        <w:t>bcl</w:t>
      </w:r>
      <w:proofErr w:type="spellEnd"/>
      <w:r w:rsidRPr="00685A4E">
        <w:rPr>
          <w:rFonts w:asciiTheme="minorHAnsi" w:hAnsiTheme="minorHAnsi" w:cstheme="minorHAnsi"/>
          <w:bCs/>
          <w:i/>
          <w:iCs/>
          <w:sz w:val="20"/>
          <w:szCs w:val="20"/>
        </w:rPr>
        <w:t xml:space="preserve"> durante un período de retención mínimo de 5 años (según la Ley de Protección de Datos Personales de España), pero todos los archivos de configuración (archivos de configuración) se almacenan de forma ilimitada, lo que garantiza la recuperación completa de los datos del paciente de los datos de secuenciación obtenidos originalmente en formato </w:t>
      </w:r>
      <w:proofErr w:type="spellStart"/>
      <w:r w:rsidRPr="00685A4E">
        <w:rPr>
          <w:rFonts w:asciiTheme="minorHAnsi" w:hAnsiTheme="minorHAnsi" w:cstheme="minorHAnsi"/>
          <w:bCs/>
          <w:i/>
          <w:iCs/>
          <w:sz w:val="20"/>
          <w:szCs w:val="20"/>
        </w:rPr>
        <w:t>bcl</w:t>
      </w:r>
      <w:proofErr w:type="spellEnd"/>
      <w:r w:rsidRPr="00685A4E">
        <w:rPr>
          <w:rFonts w:asciiTheme="minorHAnsi" w:hAnsiTheme="minorHAnsi" w:cstheme="minorHAnsi"/>
          <w:bCs/>
          <w:i/>
          <w:iCs/>
          <w:sz w:val="20"/>
          <w:szCs w:val="20"/>
        </w:rPr>
        <w:t>.</w:t>
      </w:r>
    </w:p>
    <w:p w:rsidRPr="00685A4E" w:rsidR="00CB50E5" w:rsidP="00685A4E" w:rsidRDefault="005119C9" w14:paraId="330EDD69" w14:textId="77777777">
      <w:pPr>
        <w:pStyle w:val="Default"/>
        <w:jc w:val="both"/>
        <w:rPr>
          <w:rFonts w:asciiTheme="minorHAnsi" w:hAnsiTheme="minorHAnsi" w:cstheme="minorHAnsi"/>
          <w:bCs/>
          <w:sz w:val="20"/>
          <w:szCs w:val="20"/>
        </w:rPr>
      </w:pPr>
      <w:proofErr w:type="spellStart"/>
      <w:r w:rsidRPr="00685A4E">
        <w:rPr>
          <w:rFonts w:asciiTheme="minorHAnsi" w:hAnsiTheme="minorHAnsi" w:cstheme="minorHAnsi"/>
          <w:bCs/>
          <w:sz w:val="20"/>
          <w:szCs w:val="20"/>
        </w:rPr>
        <w:t>Health</w:t>
      </w:r>
      <w:proofErr w:type="spellEnd"/>
      <w:r w:rsidRPr="00685A4E">
        <w:rPr>
          <w:rFonts w:asciiTheme="minorHAnsi" w:hAnsiTheme="minorHAnsi" w:cstheme="minorHAnsi"/>
          <w:bCs/>
          <w:sz w:val="20"/>
          <w:szCs w:val="20"/>
        </w:rPr>
        <w:t xml:space="preserve"> in </w:t>
      </w:r>
      <w:proofErr w:type="spellStart"/>
      <w:r w:rsidRPr="00685A4E">
        <w:rPr>
          <w:rFonts w:asciiTheme="minorHAnsi" w:hAnsiTheme="minorHAnsi" w:cstheme="minorHAnsi"/>
          <w:bCs/>
          <w:sz w:val="20"/>
          <w:szCs w:val="20"/>
        </w:rPr>
        <w:t>Code</w:t>
      </w:r>
      <w:proofErr w:type="spellEnd"/>
      <w:r w:rsidRPr="00685A4E">
        <w:rPr>
          <w:rFonts w:asciiTheme="minorHAnsi" w:hAnsiTheme="minorHAnsi" w:cstheme="minorHAnsi"/>
          <w:bCs/>
          <w:sz w:val="20"/>
          <w:szCs w:val="20"/>
        </w:rPr>
        <w:t xml:space="preserve"> dispone de su propia biblioteca de ADN genómico que garantiza la disponibilidad de la muestra mediante estudios adicionales o complementarios, durante un periodo mínimo de 5 años (siguiendo las recomendaciones de la LOPDGDD). Consistirá la concentración de ADN y el método de extracción utilizado. El control de temperatura se realiza con un sistema de monitorización continua que lleva un sistema de alerta de temperaturas no aceptables. Así, nos hacemos cargo de la custodia del excedente de muestra de ADN de acuerdo con la normativa vigente, estando disponible para su devolución al centro peticionario si éste lo solicita.</w:t>
      </w:r>
    </w:p>
    <w:p w:rsidRPr="00685A4E" w:rsidR="00891D18" w:rsidP="00685A4E" w:rsidRDefault="00891D18" w14:paraId="5C50E6ED" w14:textId="77777777">
      <w:pPr>
        <w:pStyle w:val="Default"/>
        <w:jc w:val="both"/>
        <w:rPr>
          <w:rFonts w:asciiTheme="minorHAnsi" w:hAnsiTheme="minorHAnsi" w:cstheme="minorHAnsi"/>
          <w:bCs/>
          <w:sz w:val="20"/>
          <w:szCs w:val="20"/>
        </w:rPr>
      </w:pPr>
      <w:r w:rsidRPr="00685A4E">
        <w:rPr>
          <w:rFonts w:asciiTheme="minorHAnsi" w:hAnsiTheme="minorHAnsi" w:cstheme="minorHAnsi"/>
          <w:b/>
          <w:bCs/>
          <w:sz w:val="20"/>
          <w:szCs w:val="20"/>
          <w:lang w:val="es-ES_tradnl"/>
        </w:rPr>
        <w:t>POLÍTICA DE ALMACENAMIENTO DE MUESTRA:</w:t>
      </w:r>
    </w:p>
    <w:p w:rsidRPr="00685A4E" w:rsidR="00891D18" w:rsidP="00685A4E" w:rsidRDefault="00891D18" w14:paraId="26B7ED83"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xml:space="preserve">• Tubo primario: A -20 </w:t>
      </w:r>
      <w:proofErr w:type="spellStart"/>
      <w:r w:rsidRPr="00685A4E">
        <w:rPr>
          <w:rFonts w:asciiTheme="minorHAnsi" w:hAnsiTheme="minorHAnsi" w:cstheme="minorHAnsi"/>
          <w:bCs/>
          <w:sz w:val="20"/>
          <w:szCs w:val="20"/>
        </w:rPr>
        <w:t>ºC</w:t>
      </w:r>
      <w:proofErr w:type="spellEnd"/>
      <w:r w:rsidRPr="00685A4E">
        <w:rPr>
          <w:rFonts w:asciiTheme="minorHAnsi" w:hAnsiTheme="minorHAnsi" w:cstheme="minorHAnsi"/>
          <w:bCs/>
          <w:sz w:val="20"/>
          <w:szCs w:val="20"/>
        </w:rPr>
        <w:t>, mínimo 6 meses con posibilidad de ampliar hasta 1 año (pero no más), dependiendo de la capacidad de almacenamiento de cada sitio.</w:t>
      </w:r>
    </w:p>
    <w:p w:rsidRPr="00685A4E" w:rsidR="00891D18" w:rsidP="00685A4E" w:rsidRDefault="00891D18" w14:paraId="791F8524"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xml:space="preserve">• ADN genómico: A -20 </w:t>
      </w:r>
      <w:proofErr w:type="spellStart"/>
      <w:r w:rsidRPr="00685A4E">
        <w:rPr>
          <w:rFonts w:asciiTheme="minorHAnsi" w:hAnsiTheme="minorHAnsi" w:cstheme="minorHAnsi"/>
          <w:bCs/>
          <w:sz w:val="20"/>
          <w:szCs w:val="20"/>
        </w:rPr>
        <w:t>ºC</w:t>
      </w:r>
      <w:proofErr w:type="spellEnd"/>
      <w:r w:rsidRPr="00685A4E">
        <w:rPr>
          <w:rFonts w:asciiTheme="minorHAnsi" w:hAnsiTheme="minorHAnsi" w:cstheme="minorHAnsi"/>
          <w:bCs/>
          <w:sz w:val="20"/>
          <w:szCs w:val="20"/>
        </w:rPr>
        <w:t>, mínimo 5 años, con posibilidad de mantener el archivo indefinidamente, dependiendo de la capacidad de almacenamiento de cada sitio.</w:t>
      </w:r>
    </w:p>
    <w:p w:rsidRPr="00685A4E" w:rsidR="00891D18" w:rsidP="00685A4E" w:rsidRDefault="00891D18" w14:paraId="4943AC04"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xml:space="preserve">• </w:t>
      </w:r>
      <w:proofErr w:type="spellStart"/>
      <w:r w:rsidRPr="00685A4E">
        <w:rPr>
          <w:rFonts w:asciiTheme="minorHAnsi" w:hAnsiTheme="minorHAnsi" w:cstheme="minorHAnsi"/>
          <w:bCs/>
          <w:sz w:val="20"/>
          <w:szCs w:val="20"/>
        </w:rPr>
        <w:t>RNAs</w:t>
      </w:r>
      <w:proofErr w:type="spellEnd"/>
      <w:r w:rsidRPr="00685A4E">
        <w:rPr>
          <w:rFonts w:asciiTheme="minorHAnsi" w:hAnsiTheme="minorHAnsi" w:cstheme="minorHAnsi"/>
          <w:bCs/>
          <w:sz w:val="20"/>
          <w:szCs w:val="20"/>
        </w:rPr>
        <w:t xml:space="preserve">: A -80 </w:t>
      </w:r>
      <w:proofErr w:type="spellStart"/>
      <w:r w:rsidRPr="00685A4E">
        <w:rPr>
          <w:rFonts w:asciiTheme="minorHAnsi" w:hAnsiTheme="minorHAnsi" w:cstheme="minorHAnsi"/>
          <w:bCs/>
          <w:sz w:val="20"/>
          <w:szCs w:val="20"/>
        </w:rPr>
        <w:t>ºC</w:t>
      </w:r>
      <w:proofErr w:type="spellEnd"/>
      <w:r w:rsidRPr="00685A4E">
        <w:rPr>
          <w:rFonts w:asciiTheme="minorHAnsi" w:hAnsiTheme="minorHAnsi" w:cstheme="minorHAnsi"/>
          <w:bCs/>
          <w:sz w:val="20"/>
          <w:szCs w:val="20"/>
        </w:rPr>
        <w:t>, mínimo 5 años, con posibilidad de mantener el archivo indefinidamente, dependiendo de la capacidad de almacenamiento de cada sitio.</w:t>
      </w:r>
    </w:p>
    <w:p w:rsidRPr="00685A4E" w:rsidR="00891D18" w:rsidP="00685A4E" w:rsidRDefault="00891D18" w14:paraId="442AEBB2"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xml:space="preserve">• Diluciones de trabajo: A -20 </w:t>
      </w:r>
      <w:proofErr w:type="spellStart"/>
      <w:r w:rsidRPr="00685A4E">
        <w:rPr>
          <w:rFonts w:asciiTheme="minorHAnsi" w:hAnsiTheme="minorHAnsi" w:cstheme="minorHAnsi"/>
          <w:bCs/>
          <w:sz w:val="20"/>
          <w:szCs w:val="20"/>
        </w:rPr>
        <w:t>ºC</w:t>
      </w:r>
      <w:proofErr w:type="spellEnd"/>
      <w:r w:rsidRPr="00685A4E">
        <w:rPr>
          <w:rFonts w:asciiTheme="minorHAnsi" w:hAnsiTheme="minorHAnsi" w:cstheme="minorHAnsi"/>
          <w:bCs/>
          <w:sz w:val="20"/>
          <w:szCs w:val="20"/>
        </w:rPr>
        <w:t>, mínimo 1 año con posibilidad de ampliar hasta 5 años (pero no más), dependiendo de la capacidad de almacenamiento de cada sitio.</w:t>
      </w:r>
    </w:p>
    <w:p w:rsidRPr="00685A4E" w:rsidR="00891D18" w:rsidP="00685A4E" w:rsidRDefault="00891D18" w14:paraId="3DA0E820"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Agro:</w:t>
      </w:r>
    </w:p>
    <w:p w:rsidRPr="00685A4E" w:rsidR="00891D18" w:rsidP="00685A4E" w:rsidRDefault="00891D18" w14:paraId="60F5F302"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xml:space="preserve">• Muestras originales: mínimo 1 mes, conservadas a temperatura ambiente </w:t>
      </w:r>
      <w:proofErr w:type="spellStart"/>
      <w:r w:rsidRPr="00685A4E">
        <w:rPr>
          <w:rFonts w:asciiTheme="minorHAnsi" w:hAnsiTheme="minorHAnsi" w:cstheme="minorHAnsi"/>
          <w:bCs/>
          <w:sz w:val="20"/>
          <w:szCs w:val="20"/>
        </w:rPr>
        <w:t>oa</w:t>
      </w:r>
      <w:proofErr w:type="spellEnd"/>
      <w:r w:rsidRPr="00685A4E">
        <w:rPr>
          <w:rFonts w:asciiTheme="minorHAnsi" w:hAnsiTheme="minorHAnsi" w:cstheme="minorHAnsi"/>
          <w:bCs/>
          <w:sz w:val="20"/>
          <w:szCs w:val="20"/>
        </w:rPr>
        <w:t xml:space="preserve"> -20ºC, según se trate de productos perecederos.</w:t>
      </w:r>
    </w:p>
    <w:p w:rsidRPr="00685A4E" w:rsidR="00891D18" w:rsidP="00685A4E" w:rsidRDefault="00891D18" w14:paraId="56787655"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Muestras extraídas (ADN): mínimo 3 meses a -20ºC</w:t>
      </w:r>
    </w:p>
    <w:p w:rsidRPr="00685A4E" w:rsidR="00CB50E5" w:rsidP="00685A4E" w:rsidRDefault="00891D18" w14:paraId="66607637" w14:textId="77777777">
      <w:pPr>
        <w:pStyle w:val="Default"/>
        <w:jc w:val="both"/>
        <w:rPr>
          <w:rFonts w:asciiTheme="minorHAnsi" w:hAnsiTheme="minorHAnsi" w:cstheme="minorHAnsi"/>
          <w:bCs/>
          <w:color w:val="auto"/>
          <w:sz w:val="20"/>
          <w:szCs w:val="20"/>
        </w:rPr>
      </w:pPr>
      <w:r w:rsidRPr="00685A4E">
        <w:rPr>
          <w:rFonts w:asciiTheme="minorHAnsi" w:hAnsiTheme="minorHAnsi" w:cstheme="minorHAnsi"/>
          <w:bCs/>
          <w:sz w:val="20"/>
          <w:szCs w:val="20"/>
        </w:rPr>
        <w:t xml:space="preserve">• COVID: Las muestras originales y los </w:t>
      </w:r>
      <w:proofErr w:type="spellStart"/>
      <w:r w:rsidRPr="00685A4E">
        <w:rPr>
          <w:rFonts w:asciiTheme="minorHAnsi" w:hAnsiTheme="minorHAnsi" w:cstheme="minorHAnsi"/>
          <w:bCs/>
          <w:sz w:val="20"/>
          <w:szCs w:val="20"/>
        </w:rPr>
        <w:t>RNAs</w:t>
      </w:r>
      <w:proofErr w:type="spellEnd"/>
      <w:r w:rsidRPr="00685A4E">
        <w:rPr>
          <w:rFonts w:asciiTheme="minorHAnsi" w:hAnsiTheme="minorHAnsi" w:cstheme="minorHAnsi"/>
          <w:bCs/>
          <w:sz w:val="20"/>
          <w:szCs w:val="20"/>
        </w:rPr>
        <w:t xml:space="preserve"> extraídos se almacenan al menos 1 mes a -20ºC</w:t>
      </w:r>
    </w:p>
    <w:p w:rsidRPr="00685A4E" w:rsidR="005444E3" w:rsidP="00685A4E" w:rsidRDefault="005444E3" w14:paraId="1DA405EE"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xml:space="preserve">Tras finalizar el acuerdo entre la SEN y </w:t>
      </w:r>
      <w:proofErr w:type="spellStart"/>
      <w:r w:rsidRPr="00685A4E">
        <w:rPr>
          <w:rFonts w:asciiTheme="minorHAnsi" w:hAnsiTheme="minorHAnsi" w:cstheme="minorHAnsi"/>
          <w:bCs/>
          <w:sz w:val="20"/>
          <w:szCs w:val="20"/>
        </w:rPr>
        <w:t>Healthincode</w:t>
      </w:r>
      <w:proofErr w:type="spellEnd"/>
      <w:r w:rsidRPr="00685A4E">
        <w:rPr>
          <w:rFonts w:asciiTheme="minorHAnsi" w:hAnsiTheme="minorHAnsi" w:cstheme="minorHAnsi"/>
          <w:bCs/>
          <w:sz w:val="20"/>
          <w:szCs w:val="20"/>
        </w:rPr>
        <w:t xml:space="preserve"> y las prórrogas que apliquen se procederá a destruir las muestras biológicas </w:t>
      </w:r>
      <w:proofErr w:type="gramStart"/>
      <w:r w:rsidRPr="00685A4E">
        <w:rPr>
          <w:rFonts w:asciiTheme="minorHAnsi" w:hAnsiTheme="minorHAnsi" w:cstheme="minorHAnsi"/>
          <w:bCs/>
          <w:sz w:val="20"/>
          <w:szCs w:val="20"/>
        </w:rPr>
        <w:t>de acuerdo a</w:t>
      </w:r>
      <w:proofErr w:type="gramEnd"/>
      <w:r w:rsidRPr="00685A4E">
        <w:rPr>
          <w:rFonts w:asciiTheme="minorHAnsi" w:hAnsiTheme="minorHAnsi" w:cstheme="minorHAnsi"/>
          <w:bCs/>
          <w:sz w:val="20"/>
          <w:szCs w:val="20"/>
        </w:rPr>
        <w:t xml:space="preserve"> la legislación vigente o bien se devolverán los materiales a los peticionarios si así lo solicitan dentro del tiempo que marca la legislación arriba indicad</w:t>
      </w:r>
      <w:r w:rsidRPr="00685A4E" w:rsidR="00D80553">
        <w:rPr>
          <w:rFonts w:asciiTheme="minorHAnsi" w:hAnsiTheme="minorHAnsi" w:cstheme="minorHAnsi"/>
          <w:bCs/>
          <w:sz w:val="20"/>
          <w:szCs w:val="20"/>
        </w:rPr>
        <w:t>a</w:t>
      </w:r>
      <w:r w:rsidRPr="00685A4E">
        <w:rPr>
          <w:rFonts w:asciiTheme="minorHAnsi" w:hAnsiTheme="minorHAnsi" w:cstheme="minorHAnsi"/>
          <w:bCs/>
          <w:sz w:val="20"/>
          <w:szCs w:val="20"/>
        </w:rPr>
        <w:t>.</w:t>
      </w:r>
    </w:p>
    <w:p w:rsidRPr="00685A4E" w:rsidR="005444E3" w:rsidP="00685A4E" w:rsidRDefault="005444E3" w14:paraId="38844F28" w14:textId="77777777">
      <w:pPr>
        <w:pStyle w:val="Default"/>
        <w:jc w:val="both"/>
        <w:rPr>
          <w:rFonts w:asciiTheme="minorHAnsi" w:hAnsiTheme="minorHAnsi" w:cstheme="minorHAnsi"/>
          <w:bCs/>
          <w:sz w:val="20"/>
          <w:szCs w:val="20"/>
        </w:rPr>
      </w:pPr>
      <w:r w:rsidRPr="00685A4E">
        <w:rPr>
          <w:rFonts w:asciiTheme="minorHAnsi" w:hAnsiTheme="minorHAnsi" w:cstheme="minorHAnsi"/>
          <w:bCs/>
          <w:sz w:val="20"/>
          <w:szCs w:val="20"/>
        </w:rPr>
        <w:t xml:space="preserve">Los datos genéticos y fenotípicos de los pacientes serán incorporados a una base de datos anonimizada de </w:t>
      </w:r>
      <w:proofErr w:type="spellStart"/>
      <w:r w:rsidRPr="00685A4E">
        <w:rPr>
          <w:rFonts w:asciiTheme="minorHAnsi" w:hAnsiTheme="minorHAnsi" w:cstheme="minorHAnsi"/>
          <w:bCs/>
          <w:sz w:val="20"/>
          <w:szCs w:val="20"/>
        </w:rPr>
        <w:t>Healthincode</w:t>
      </w:r>
      <w:proofErr w:type="spellEnd"/>
      <w:r w:rsidRPr="00685A4E">
        <w:rPr>
          <w:rFonts w:asciiTheme="minorHAnsi" w:hAnsiTheme="minorHAnsi" w:cstheme="minorHAnsi"/>
          <w:bCs/>
          <w:sz w:val="20"/>
          <w:szCs w:val="20"/>
        </w:rPr>
        <w:t xml:space="preserve"> para su uso exclusivo con fines de investigación y aplicación diagnóstica, como consta en el consentimiento informado</w:t>
      </w:r>
    </w:p>
    <w:p w:rsidRPr="00685A4E" w:rsidR="005444E3" w:rsidP="00685A4E" w:rsidRDefault="005444E3" w14:paraId="46DD8740" w14:textId="77777777">
      <w:pPr>
        <w:pStyle w:val="Default"/>
        <w:jc w:val="both"/>
        <w:rPr>
          <w:rFonts w:asciiTheme="minorHAnsi" w:hAnsiTheme="minorHAnsi" w:cstheme="minorHAnsi"/>
          <w:bCs/>
          <w:color w:val="auto"/>
          <w:sz w:val="20"/>
          <w:szCs w:val="20"/>
        </w:rPr>
      </w:pPr>
    </w:p>
    <w:p w:rsidRPr="00685A4E" w:rsidR="00E263C8" w:rsidP="00685A4E" w:rsidRDefault="00255610" w14:paraId="3B9A744C"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13</w:t>
      </w:r>
      <w:r w:rsidRPr="00685A4E" w:rsidR="00E263C8">
        <w:rPr>
          <w:rFonts w:asciiTheme="minorHAnsi" w:hAnsiTheme="minorHAnsi" w:cstheme="minorHAnsi"/>
          <w:b/>
          <w:bCs/>
          <w:color w:val="auto"/>
          <w:sz w:val="20"/>
          <w:szCs w:val="20"/>
        </w:rPr>
        <w:tab/>
      </w:r>
      <w:proofErr w:type="gramStart"/>
      <w:r w:rsidRPr="00685A4E" w:rsidR="007F33E7">
        <w:rPr>
          <w:rFonts w:asciiTheme="minorHAnsi" w:hAnsiTheme="minorHAnsi" w:cstheme="minorHAnsi"/>
          <w:b/>
          <w:bCs/>
          <w:color w:val="auto"/>
          <w:sz w:val="20"/>
          <w:szCs w:val="20"/>
        </w:rPr>
        <w:t>Memoria</w:t>
      </w:r>
      <w:proofErr w:type="gramEnd"/>
      <w:r w:rsidRPr="00685A4E" w:rsidR="007F33E7">
        <w:rPr>
          <w:rFonts w:asciiTheme="minorHAnsi" w:hAnsiTheme="minorHAnsi" w:cstheme="minorHAnsi"/>
          <w:b/>
          <w:bCs/>
          <w:color w:val="auto"/>
          <w:sz w:val="20"/>
          <w:szCs w:val="20"/>
        </w:rPr>
        <w:t xml:space="preserve"> económica -</w:t>
      </w:r>
      <w:r w:rsidRPr="00685A4E" w:rsidR="00E263C8">
        <w:rPr>
          <w:rFonts w:asciiTheme="minorHAnsi" w:hAnsiTheme="minorHAnsi" w:cstheme="minorHAnsi"/>
          <w:b/>
          <w:bCs/>
          <w:color w:val="auto"/>
          <w:sz w:val="20"/>
          <w:szCs w:val="20"/>
        </w:rPr>
        <w:t xml:space="preserve">Financiación  </w:t>
      </w:r>
    </w:p>
    <w:p w:rsidRPr="00685A4E" w:rsidR="0088704D" w:rsidP="00685A4E" w:rsidRDefault="0088704D" w14:paraId="2F6C5D7B" w14:textId="1A541E62">
      <w:pPr>
        <w:shd w:val="clear" w:color="auto" w:fill="FFFFFF"/>
        <w:jc w:val="both"/>
        <w:textAlignment w:val="baseline"/>
        <w:rPr>
          <w:rFonts w:asciiTheme="minorHAnsi" w:hAnsiTheme="minorHAnsi" w:cstheme="minorHAnsi"/>
          <w:color w:val="000000"/>
          <w:sz w:val="20"/>
          <w:lang w:val="es-ES"/>
        </w:rPr>
      </w:pPr>
      <w:r w:rsidRPr="00685A4E">
        <w:rPr>
          <w:rFonts w:asciiTheme="minorHAnsi" w:hAnsiTheme="minorHAnsi" w:cstheme="minorHAnsi"/>
          <w:color w:val="000000"/>
          <w:sz w:val="20"/>
          <w:lang w:val="es-ES"/>
        </w:rPr>
        <w:t xml:space="preserve">HEALTH IN CODE, S.L como parte colaboradora del acuerdo con la SOCIEDAD </w:t>
      </w:r>
      <w:r w:rsidRPr="00685A4E" w:rsidR="008F0CD2">
        <w:rPr>
          <w:rFonts w:asciiTheme="minorHAnsi" w:hAnsiTheme="minorHAnsi" w:cstheme="minorHAnsi"/>
          <w:color w:val="000000"/>
          <w:sz w:val="20"/>
          <w:lang w:val="es-ES"/>
        </w:rPr>
        <w:t xml:space="preserve">MADRILEÑA </w:t>
      </w:r>
      <w:r w:rsidRPr="00685A4E">
        <w:rPr>
          <w:rFonts w:asciiTheme="minorHAnsi" w:hAnsiTheme="minorHAnsi" w:cstheme="minorHAnsi"/>
          <w:color w:val="000000"/>
          <w:sz w:val="20"/>
          <w:lang w:val="es-ES"/>
        </w:rPr>
        <w:t>DE NEFROLOGIA llevará a cabo la realización del estudio genético de las muestras incluidas en el convenio bajo el título “</w:t>
      </w:r>
      <w:r w:rsidRPr="00685A4E" w:rsidR="00685A4E">
        <w:rPr>
          <w:rFonts w:asciiTheme="minorHAnsi" w:hAnsiTheme="minorHAnsi" w:cstheme="minorHAnsi"/>
          <w:color w:val="000000"/>
          <w:sz w:val="20"/>
          <w:lang w:val="es-ES"/>
        </w:rPr>
        <w:t>Estudio FOREVER (</w:t>
      </w:r>
      <w:proofErr w:type="spellStart"/>
      <w:r w:rsidR="00302E46">
        <w:rPr>
          <w:rFonts w:asciiTheme="minorHAnsi" w:hAnsiTheme="minorHAnsi" w:cstheme="minorHAnsi"/>
          <w:color w:val="000000"/>
          <w:sz w:val="20"/>
          <w:lang w:val="es-ES"/>
        </w:rPr>
        <w:t>FORo</w:t>
      </w:r>
      <w:proofErr w:type="spellEnd"/>
      <w:r w:rsidR="00302E46">
        <w:rPr>
          <w:rFonts w:asciiTheme="minorHAnsi" w:hAnsiTheme="minorHAnsi" w:cstheme="minorHAnsi"/>
          <w:color w:val="000000"/>
          <w:sz w:val="20"/>
          <w:lang w:val="es-ES"/>
        </w:rPr>
        <w:t xml:space="preserve"> para Encontrar la Verdadera causa de la Enfermedad Renal</w:t>
      </w:r>
      <w:r w:rsidRPr="00685A4E" w:rsidR="00685A4E">
        <w:rPr>
          <w:rFonts w:asciiTheme="minorHAnsi" w:hAnsiTheme="minorHAnsi" w:cstheme="minorHAnsi"/>
          <w:color w:val="000000"/>
          <w:sz w:val="20"/>
          <w:lang w:val="es-ES"/>
        </w:rPr>
        <w:t>)</w:t>
      </w:r>
      <w:r w:rsidRPr="00685A4E">
        <w:rPr>
          <w:rFonts w:asciiTheme="minorHAnsi" w:hAnsiTheme="minorHAnsi" w:cstheme="minorHAnsi"/>
          <w:color w:val="000000"/>
          <w:sz w:val="20"/>
          <w:lang w:val="es-ES"/>
        </w:rPr>
        <w:t>”. El servicio ofertado bajo la referencia S-202212474 y nombre Panel global de nefropatías hereditarias (529 genes) – S</w:t>
      </w:r>
      <w:r w:rsidRPr="00685A4E" w:rsidR="008F0CD2">
        <w:rPr>
          <w:rFonts w:asciiTheme="minorHAnsi" w:hAnsiTheme="minorHAnsi" w:cstheme="minorHAnsi"/>
          <w:color w:val="000000"/>
          <w:sz w:val="20"/>
          <w:lang w:val="es-ES"/>
        </w:rPr>
        <w:t>OMANE</w:t>
      </w:r>
      <w:r w:rsidRPr="00685A4E">
        <w:rPr>
          <w:rFonts w:asciiTheme="minorHAnsi" w:hAnsiTheme="minorHAnsi" w:cstheme="minorHAnsi"/>
          <w:color w:val="000000"/>
          <w:sz w:val="20"/>
          <w:lang w:val="es-ES"/>
        </w:rPr>
        <w:t>.</w:t>
      </w:r>
    </w:p>
    <w:p w:rsidRPr="00685A4E" w:rsidR="007F33E7" w:rsidP="00685A4E" w:rsidRDefault="007F33E7" w14:paraId="6B4AF14D" w14:textId="77777777">
      <w:pPr>
        <w:shd w:val="clear" w:color="auto" w:fill="FFFFFF"/>
        <w:jc w:val="both"/>
        <w:textAlignment w:val="baseline"/>
        <w:rPr>
          <w:rFonts w:asciiTheme="minorHAnsi" w:hAnsiTheme="minorHAnsi" w:cstheme="minorHAnsi"/>
          <w:color w:val="000000"/>
          <w:sz w:val="20"/>
          <w:lang w:val="es-ES"/>
        </w:rPr>
      </w:pPr>
    </w:p>
    <w:p w:rsidRPr="00685A4E" w:rsidR="007F33E7" w:rsidP="00685A4E" w:rsidRDefault="007F33E7" w14:paraId="35180AF6" w14:textId="74A79489">
      <w:pPr>
        <w:shd w:val="clear" w:color="auto" w:fill="FFFFFF"/>
        <w:jc w:val="both"/>
        <w:textAlignment w:val="baseline"/>
        <w:rPr>
          <w:rFonts w:asciiTheme="minorHAnsi" w:hAnsiTheme="minorHAnsi" w:cstheme="minorHAnsi"/>
          <w:color w:val="000000"/>
          <w:sz w:val="20"/>
          <w:lang w:val="es-ES"/>
        </w:rPr>
      </w:pPr>
      <w:r w:rsidRPr="00685A4E">
        <w:rPr>
          <w:rFonts w:asciiTheme="minorHAnsi" w:hAnsiTheme="minorHAnsi" w:cstheme="minorHAnsi"/>
          <w:color w:val="000000"/>
          <w:sz w:val="20"/>
          <w:lang w:val="es-ES"/>
        </w:rPr>
        <w:t>El servicio prestado por</w:t>
      </w:r>
      <w:r w:rsidRPr="00685A4E" w:rsidR="00685A4E">
        <w:rPr>
          <w:rFonts w:asciiTheme="minorHAnsi" w:hAnsiTheme="minorHAnsi" w:cstheme="minorHAnsi"/>
          <w:color w:val="000000"/>
          <w:sz w:val="20"/>
          <w:lang w:val="es-ES"/>
        </w:rPr>
        <w:t xml:space="preserve"> </w:t>
      </w:r>
      <w:r w:rsidRPr="00685A4E">
        <w:rPr>
          <w:rFonts w:asciiTheme="minorHAnsi" w:hAnsiTheme="minorHAnsi" w:cstheme="minorHAnsi"/>
          <w:color w:val="000000"/>
          <w:sz w:val="20"/>
          <w:lang w:val="es-ES"/>
        </w:rPr>
        <w:t>HEALTH IN CODE como parte colaboradora de este proyecto incluye:</w:t>
      </w:r>
    </w:p>
    <w:p w:rsidRPr="00685A4E" w:rsidR="007F33E7" w:rsidP="00685A4E" w:rsidRDefault="007F33E7" w14:paraId="76696019" w14:textId="77777777">
      <w:pPr>
        <w:shd w:val="clear" w:color="auto" w:fill="FFFFFF"/>
        <w:jc w:val="both"/>
        <w:textAlignment w:val="baseline"/>
        <w:rPr>
          <w:rFonts w:asciiTheme="minorHAnsi" w:hAnsiTheme="minorHAnsi" w:cstheme="minorHAnsi"/>
          <w:color w:val="000000"/>
          <w:sz w:val="20"/>
          <w:lang w:val="es-ES"/>
        </w:rPr>
      </w:pPr>
      <w:r w:rsidRPr="00685A4E">
        <w:rPr>
          <w:rFonts w:asciiTheme="minorHAnsi" w:hAnsiTheme="minorHAnsi" w:cstheme="minorHAnsi"/>
          <w:color w:val="000000"/>
          <w:sz w:val="20"/>
          <w:lang w:val="es-ES"/>
        </w:rPr>
        <w:t>-Extracción del material genético a partir de muestras de sangre o saliva válidas para su secuenciación de alto rendimiento.</w:t>
      </w:r>
    </w:p>
    <w:p w:rsidRPr="00685A4E" w:rsidR="007F33E7" w:rsidP="00685A4E" w:rsidRDefault="007F33E7" w14:paraId="43988C07" w14:textId="77777777">
      <w:pPr>
        <w:shd w:val="clear" w:color="auto" w:fill="FFFFFF"/>
        <w:jc w:val="both"/>
        <w:textAlignment w:val="baseline"/>
        <w:rPr>
          <w:rFonts w:asciiTheme="minorHAnsi" w:hAnsiTheme="minorHAnsi" w:cstheme="minorHAnsi"/>
          <w:color w:val="000000"/>
          <w:sz w:val="20"/>
          <w:lang w:val="es-ES"/>
        </w:rPr>
      </w:pPr>
      <w:r w:rsidRPr="00685A4E">
        <w:rPr>
          <w:rFonts w:asciiTheme="minorHAnsi" w:hAnsiTheme="minorHAnsi" w:cstheme="minorHAnsi"/>
          <w:color w:val="000000"/>
          <w:sz w:val="20"/>
          <w:lang w:val="es-ES"/>
        </w:rPr>
        <w:t>-Preparación de una librería de captura de secuenciación enriquecida que incluye 529 genes de justificación para su análisis en el diagnóstico de nefropatías hereditarias.</w:t>
      </w:r>
    </w:p>
    <w:p w:rsidRPr="00685A4E" w:rsidR="007F33E7" w:rsidP="00685A4E" w:rsidRDefault="007F33E7" w14:paraId="4E40C694" w14:textId="77777777">
      <w:pPr>
        <w:shd w:val="clear" w:color="auto" w:fill="FFFFFF"/>
        <w:jc w:val="both"/>
        <w:textAlignment w:val="baseline"/>
        <w:rPr>
          <w:rFonts w:asciiTheme="minorHAnsi" w:hAnsiTheme="minorHAnsi" w:cstheme="minorHAnsi"/>
          <w:color w:val="000000"/>
          <w:sz w:val="20"/>
          <w:lang w:val="es-ES"/>
        </w:rPr>
      </w:pPr>
      <w:r w:rsidRPr="00685A4E">
        <w:rPr>
          <w:rFonts w:asciiTheme="minorHAnsi" w:hAnsiTheme="minorHAnsi" w:cstheme="minorHAnsi"/>
          <w:color w:val="000000"/>
          <w:sz w:val="20"/>
          <w:lang w:val="es-ES"/>
        </w:rPr>
        <w:t xml:space="preserve">-Secuenciación de alto rendimiento mediante la plataforma </w:t>
      </w:r>
      <w:proofErr w:type="spellStart"/>
      <w:r w:rsidRPr="00685A4E">
        <w:rPr>
          <w:rFonts w:asciiTheme="minorHAnsi" w:hAnsiTheme="minorHAnsi" w:cstheme="minorHAnsi"/>
          <w:color w:val="000000"/>
          <w:sz w:val="20"/>
          <w:lang w:val="es-ES"/>
        </w:rPr>
        <w:t>Illumina</w:t>
      </w:r>
      <w:proofErr w:type="spellEnd"/>
      <w:r w:rsidRPr="00685A4E">
        <w:rPr>
          <w:rFonts w:asciiTheme="minorHAnsi" w:hAnsiTheme="minorHAnsi" w:cstheme="minorHAnsi"/>
          <w:color w:val="000000"/>
          <w:sz w:val="20"/>
          <w:lang w:val="es-ES"/>
        </w:rPr>
        <w:t xml:space="preserve"> alcanzando una cobertura media superior a 400x de las regiones codificantes e </w:t>
      </w:r>
      <w:proofErr w:type="spellStart"/>
      <w:r w:rsidRPr="00685A4E">
        <w:rPr>
          <w:rFonts w:asciiTheme="minorHAnsi" w:hAnsiTheme="minorHAnsi" w:cstheme="minorHAnsi"/>
          <w:color w:val="000000"/>
          <w:sz w:val="20"/>
          <w:lang w:val="es-ES"/>
        </w:rPr>
        <w:t>intrónicas</w:t>
      </w:r>
      <w:proofErr w:type="spellEnd"/>
      <w:r w:rsidRPr="00685A4E">
        <w:rPr>
          <w:rFonts w:asciiTheme="minorHAnsi" w:hAnsiTheme="minorHAnsi" w:cstheme="minorHAnsi"/>
          <w:color w:val="000000"/>
          <w:sz w:val="20"/>
          <w:lang w:val="es-ES"/>
        </w:rPr>
        <w:t xml:space="preserve"> +/-50pb.</w:t>
      </w:r>
    </w:p>
    <w:p w:rsidRPr="00685A4E" w:rsidR="007F33E7" w:rsidP="00685A4E" w:rsidRDefault="007F33E7" w14:paraId="260EF408" w14:textId="77777777">
      <w:pPr>
        <w:shd w:val="clear" w:color="auto" w:fill="FFFFFF"/>
        <w:jc w:val="both"/>
        <w:textAlignment w:val="baseline"/>
        <w:rPr>
          <w:rFonts w:asciiTheme="minorHAnsi" w:hAnsiTheme="minorHAnsi" w:cstheme="minorHAnsi"/>
          <w:color w:val="000000"/>
          <w:sz w:val="20"/>
          <w:lang w:val="es-ES"/>
        </w:rPr>
      </w:pPr>
      <w:r w:rsidRPr="00685A4E">
        <w:rPr>
          <w:rFonts w:asciiTheme="minorHAnsi" w:hAnsiTheme="minorHAnsi" w:cstheme="minorHAnsi"/>
          <w:color w:val="000000"/>
          <w:sz w:val="20"/>
          <w:lang w:val="es-ES"/>
        </w:rPr>
        <w:t xml:space="preserve">-Realización de la bioinformática de los datos crudos generados por la secuenciación y su carga en la plataforma de visualización de </w:t>
      </w:r>
      <w:proofErr w:type="spellStart"/>
      <w:r w:rsidRPr="00685A4E">
        <w:rPr>
          <w:rFonts w:asciiTheme="minorHAnsi" w:hAnsiTheme="minorHAnsi" w:cstheme="minorHAnsi"/>
          <w:color w:val="000000"/>
          <w:sz w:val="20"/>
          <w:lang w:val="es-ES"/>
        </w:rPr>
        <w:t>ClientSite</w:t>
      </w:r>
      <w:proofErr w:type="spellEnd"/>
      <w:r w:rsidRPr="00685A4E">
        <w:rPr>
          <w:rFonts w:asciiTheme="minorHAnsi" w:hAnsiTheme="minorHAnsi" w:cstheme="minorHAnsi"/>
          <w:color w:val="000000"/>
          <w:sz w:val="20"/>
          <w:lang w:val="es-ES"/>
        </w:rPr>
        <w:t xml:space="preserve"> (propiedad de HEALTH IN CODE, S.L).</w:t>
      </w:r>
    </w:p>
    <w:p w:rsidRPr="00685A4E" w:rsidR="007F33E7" w:rsidP="00685A4E" w:rsidRDefault="007F33E7" w14:paraId="26B4AFB3" w14:textId="281E4A94">
      <w:pPr>
        <w:shd w:val="clear" w:color="auto" w:fill="FFFFFF"/>
        <w:jc w:val="both"/>
        <w:textAlignment w:val="baseline"/>
        <w:rPr>
          <w:rFonts w:asciiTheme="minorHAnsi" w:hAnsiTheme="minorHAnsi" w:cstheme="minorHAnsi"/>
          <w:color w:val="000000"/>
          <w:sz w:val="20"/>
          <w:lang w:val="es-ES"/>
        </w:rPr>
      </w:pPr>
      <w:r w:rsidRPr="00685A4E">
        <w:rPr>
          <w:rFonts w:asciiTheme="minorHAnsi" w:hAnsiTheme="minorHAnsi" w:cstheme="minorHAnsi"/>
          <w:color w:val="000000"/>
          <w:sz w:val="20"/>
          <w:lang w:val="es-ES"/>
        </w:rPr>
        <w:t xml:space="preserve">- Soporte en el análisis de los datos cargados en el </w:t>
      </w:r>
      <w:proofErr w:type="spellStart"/>
      <w:r w:rsidRPr="00685A4E">
        <w:rPr>
          <w:rFonts w:asciiTheme="minorHAnsi" w:hAnsiTheme="minorHAnsi" w:cstheme="minorHAnsi"/>
          <w:color w:val="000000"/>
          <w:sz w:val="20"/>
          <w:lang w:val="es-ES"/>
        </w:rPr>
        <w:t>ClientSite</w:t>
      </w:r>
      <w:proofErr w:type="spellEnd"/>
      <w:r w:rsidRPr="00685A4E">
        <w:rPr>
          <w:rFonts w:asciiTheme="minorHAnsi" w:hAnsiTheme="minorHAnsi" w:cstheme="minorHAnsi"/>
          <w:color w:val="000000"/>
          <w:sz w:val="20"/>
          <w:lang w:val="es-ES"/>
        </w:rPr>
        <w:t xml:space="preserve">, con el fin de asegurar el uso adecuado de las herramientas y una correcta interpretación de los resultados para los peticionarios autorizados por la SOCIEDAD </w:t>
      </w:r>
      <w:r w:rsidRPr="00685A4E" w:rsidR="008F0CD2">
        <w:rPr>
          <w:rFonts w:asciiTheme="minorHAnsi" w:hAnsiTheme="minorHAnsi" w:cstheme="minorHAnsi"/>
          <w:color w:val="000000"/>
          <w:sz w:val="20"/>
          <w:lang w:val="es-ES"/>
        </w:rPr>
        <w:t xml:space="preserve">MADRILEÑA </w:t>
      </w:r>
      <w:r w:rsidRPr="00685A4E">
        <w:rPr>
          <w:rFonts w:asciiTheme="minorHAnsi" w:hAnsiTheme="minorHAnsi" w:cstheme="minorHAnsi"/>
          <w:color w:val="000000"/>
          <w:sz w:val="20"/>
          <w:lang w:val="es-ES"/>
        </w:rPr>
        <w:t>DE NEFROLOGÍA.</w:t>
      </w:r>
    </w:p>
    <w:p w:rsidRPr="00685A4E" w:rsidR="007F33E7" w:rsidP="00685A4E" w:rsidRDefault="007F33E7" w14:paraId="7CC522DE" w14:textId="77777777">
      <w:pPr>
        <w:shd w:val="clear" w:color="auto" w:fill="FFFFFF"/>
        <w:jc w:val="both"/>
        <w:textAlignment w:val="baseline"/>
        <w:rPr>
          <w:rFonts w:asciiTheme="minorHAnsi" w:hAnsiTheme="minorHAnsi" w:cstheme="minorHAnsi"/>
          <w:color w:val="000000"/>
          <w:sz w:val="20"/>
          <w:lang w:val="es-ES"/>
        </w:rPr>
      </w:pPr>
    </w:p>
    <w:p w:rsidRPr="00685A4E" w:rsidR="0088704D" w:rsidP="7EE3D00F" w:rsidRDefault="0088704D" w14:paraId="350A8491" w14:textId="07823B94">
      <w:pPr>
        <w:shd w:val="clear" w:color="auto" w:fill="FFFFFF" w:themeFill="background1"/>
        <w:jc w:val="both"/>
        <w:textAlignment w:val="baseline"/>
        <w:rPr>
          <w:rFonts w:ascii="Calibri" w:hAnsi="Calibri" w:cs="Calibri" w:asciiTheme="minorAscii" w:hAnsiTheme="minorAscii" w:cstheme="minorAscii"/>
          <w:color w:val="000000"/>
          <w:sz w:val="20"/>
          <w:szCs w:val="20"/>
          <w:lang w:val="es-ES"/>
        </w:rPr>
      </w:pPr>
      <w:r w:rsidRPr="7EE3D00F" w:rsidR="007F33E7">
        <w:rPr>
          <w:rFonts w:ascii="Calibri" w:hAnsi="Calibri" w:cs="Calibri" w:asciiTheme="minorAscii" w:hAnsiTheme="minorAscii" w:cstheme="minorAscii"/>
          <w:color w:val="000000" w:themeColor="text1" w:themeTint="FF" w:themeShade="FF"/>
          <w:sz w:val="20"/>
          <w:szCs w:val="20"/>
          <w:lang w:val="es-ES"/>
        </w:rPr>
        <w:t xml:space="preserve">Este servicio será financiado por la SOCIEDAD </w:t>
      </w:r>
      <w:r w:rsidRPr="7EE3D00F" w:rsidR="008F0CD2">
        <w:rPr>
          <w:rFonts w:ascii="Calibri" w:hAnsi="Calibri" w:cs="Calibri" w:asciiTheme="minorAscii" w:hAnsiTheme="minorAscii" w:cstheme="minorAscii"/>
          <w:color w:val="000000" w:themeColor="text1" w:themeTint="FF" w:themeShade="FF"/>
          <w:sz w:val="20"/>
          <w:szCs w:val="20"/>
          <w:lang w:val="es-ES"/>
        </w:rPr>
        <w:t xml:space="preserve">MADRILEÑA </w:t>
      </w:r>
      <w:r w:rsidRPr="7EE3D00F" w:rsidR="007F33E7">
        <w:rPr>
          <w:rFonts w:ascii="Calibri" w:hAnsi="Calibri" w:cs="Calibri" w:asciiTheme="minorAscii" w:hAnsiTheme="minorAscii" w:cstheme="minorAscii"/>
          <w:color w:val="000000" w:themeColor="text1" w:themeTint="FF" w:themeShade="FF"/>
          <w:sz w:val="20"/>
          <w:szCs w:val="20"/>
          <w:lang w:val="es-ES"/>
        </w:rPr>
        <w:t xml:space="preserve">DE NEFROLOGIA: </w:t>
      </w:r>
      <w:r w:rsidRPr="7EE3D00F" w:rsidR="0088704D">
        <w:rPr>
          <w:rFonts w:ascii="Calibri" w:hAnsi="Calibri" w:cs="Calibri" w:asciiTheme="minorAscii" w:hAnsiTheme="minorAscii" w:cstheme="minorAscii"/>
          <w:color w:val="000000" w:themeColor="text1" w:themeTint="FF" w:themeShade="FF"/>
          <w:sz w:val="20"/>
          <w:szCs w:val="20"/>
          <w:lang w:val="es-ES"/>
        </w:rPr>
        <w:t>En términos generales, el servicio de secuenciación, bioinformática y herramienta sin informe de HEALTH IN CODE, S.L tiene una tarifa base por muestra de 5</w:t>
      </w:r>
      <w:r w:rsidRPr="7EE3D00F" w:rsidR="070FBE76">
        <w:rPr>
          <w:rFonts w:ascii="Calibri" w:hAnsi="Calibri" w:cs="Calibri" w:asciiTheme="minorAscii" w:hAnsiTheme="minorAscii" w:cstheme="minorAscii"/>
          <w:color w:val="000000" w:themeColor="text1" w:themeTint="FF" w:themeShade="FF"/>
          <w:sz w:val="20"/>
          <w:szCs w:val="20"/>
          <w:lang w:val="es-ES"/>
        </w:rPr>
        <w:t>20</w:t>
      </w:r>
      <w:r w:rsidRPr="7EE3D00F" w:rsidR="0088704D">
        <w:rPr>
          <w:rFonts w:ascii="Calibri" w:hAnsi="Calibri" w:cs="Calibri" w:asciiTheme="minorAscii" w:hAnsiTheme="minorAscii" w:cstheme="minorAscii"/>
          <w:color w:val="000000" w:themeColor="text1" w:themeTint="FF" w:themeShade="FF"/>
          <w:sz w:val="20"/>
          <w:szCs w:val="20"/>
          <w:lang w:val="es-ES"/>
        </w:rPr>
        <w:t xml:space="preserve">€. </w:t>
      </w:r>
    </w:p>
    <w:p w:rsidR="7EE3D00F" w:rsidP="7EE3D00F" w:rsidRDefault="7EE3D00F" w14:paraId="726F4874" w14:textId="72028469">
      <w:pPr>
        <w:pStyle w:val="Normal"/>
        <w:shd w:val="clear" w:color="auto" w:fill="FFFFFF" w:themeFill="background1"/>
        <w:jc w:val="both"/>
        <w:rPr>
          <w:rFonts w:ascii="Calibri" w:hAnsi="Calibri" w:cs="Calibri" w:asciiTheme="minorAscii" w:hAnsiTheme="minorAscii" w:cstheme="minorAscii"/>
          <w:color w:val="000000" w:themeColor="text1" w:themeTint="FF" w:themeShade="FF"/>
          <w:sz w:val="20"/>
          <w:szCs w:val="20"/>
          <w:lang w:val="es-ES"/>
        </w:rPr>
      </w:pPr>
    </w:p>
    <w:p w:rsidR="0088704D" w:rsidP="369099F8" w:rsidRDefault="0088704D" w14:paraId="0DA33A69" w14:textId="5B61BEC9">
      <w:pPr>
        <w:pStyle w:val="Normal"/>
        <w:suppressLineNumbers w:val="0"/>
        <w:shd w:val="clear" w:color="auto" w:fill="FFFFFF" w:themeFill="background1"/>
        <w:bidi w:val="0"/>
        <w:spacing w:before="0" w:beforeAutospacing="off" w:after="0" w:afterAutospacing="off" w:line="259" w:lineRule="auto"/>
        <w:ind w:left="0" w:right="0"/>
        <w:jc w:val="both"/>
        <w:rPr>
          <w:rFonts w:ascii="Calibri" w:hAnsi="Calibri" w:cs="Calibri" w:asciiTheme="minorAscii" w:hAnsiTheme="minorAscii" w:cstheme="minorAscii"/>
          <w:sz w:val="20"/>
          <w:szCs w:val="20"/>
          <w:lang w:val="es-ES"/>
        </w:rPr>
      </w:pPr>
      <w:r w:rsidRPr="7EE3D00F" w:rsidR="0088704D">
        <w:rPr>
          <w:rFonts w:ascii="Calibri" w:hAnsi="Calibri" w:cs="Calibri" w:asciiTheme="minorAscii" w:hAnsiTheme="minorAscii" w:cstheme="minorAscii"/>
          <w:color w:val="000000" w:themeColor="text1" w:themeTint="FF" w:themeShade="FF"/>
          <w:sz w:val="20"/>
          <w:szCs w:val="20"/>
          <w:lang w:val="es-ES"/>
        </w:rPr>
        <w:t xml:space="preserve">Según la previsión de la SOCIEDAD </w:t>
      </w:r>
      <w:r w:rsidRPr="7EE3D00F" w:rsidR="008F0CD2">
        <w:rPr>
          <w:rFonts w:ascii="Calibri" w:hAnsi="Calibri" w:cs="Calibri" w:asciiTheme="minorAscii" w:hAnsiTheme="minorAscii" w:cstheme="minorAscii"/>
          <w:color w:val="000000" w:themeColor="text1" w:themeTint="FF" w:themeShade="FF"/>
          <w:sz w:val="20"/>
          <w:szCs w:val="20"/>
          <w:lang w:val="es-ES"/>
        </w:rPr>
        <w:t xml:space="preserve">MADRILEÑA </w:t>
      </w:r>
      <w:r w:rsidRPr="7EE3D00F" w:rsidR="0088704D">
        <w:rPr>
          <w:rFonts w:ascii="Calibri" w:hAnsi="Calibri" w:cs="Calibri" w:asciiTheme="minorAscii" w:hAnsiTheme="minorAscii" w:cstheme="minorAscii"/>
          <w:color w:val="000000" w:themeColor="text1" w:themeTint="FF" w:themeShade="FF"/>
          <w:sz w:val="20"/>
          <w:szCs w:val="20"/>
          <w:lang w:val="es-ES"/>
        </w:rPr>
        <w:t xml:space="preserve">DE NEFROLOGIA para una estimación de </w:t>
      </w:r>
      <w:r w:rsidRPr="7EE3D00F" w:rsidR="2B59AD7D">
        <w:rPr>
          <w:rFonts w:ascii="Calibri" w:hAnsi="Calibri" w:cs="Calibri" w:asciiTheme="minorAscii" w:hAnsiTheme="minorAscii" w:cstheme="minorAscii"/>
          <w:color w:val="000000" w:themeColor="text1" w:themeTint="FF" w:themeShade="FF"/>
          <w:sz w:val="20"/>
          <w:szCs w:val="20"/>
          <w:lang w:val="es-ES"/>
        </w:rPr>
        <w:t>5</w:t>
      </w:r>
      <w:r w:rsidRPr="7EE3D00F" w:rsidR="6B0479A8">
        <w:rPr>
          <w:rFonts w:ascii="Calibri" w:hAnsi="Calibri" w:cs="Calibri" w:asciiTheme="minorAscii" w:hAnsiTheme="minorAscii" w:cstheme="minorAscii"/>
          <w:color w:val="000000" w:themeColor="text1" w:themeTint="FF" w:themeShade="FF"/>
          <w:sz w:val="20"/>
          <w:szCs w:val="20"/>
          <w:lang w:val="es-ES"/>
        </w:rPr>
        <w:t>8</w:t>
      </w:r>
      <w:r w:rsidRPr="7EE3D00F" w:rsidR="0088704D">
        <w:rPr>
          <w:rFonts w:ascii="Calibri" w:hAnsi="Calibri" w:cs="Calibri" w:asciiTheme="minorAscii" w:hAnsiTheme="minorAscii" w:cstheme="minorAscii"/>
          <w:color w:val="000000" w:themeColor="text1" w:themeTint="FF" w:themeShade="FF"/>
          <w:sz w:val="20"/>
          <w:szCs w:val="20"/>
          <w:lang w:val="es-ES"/>
        </w:rPr>
        <w:t xml:space="preserve"> estudios, el coste global ascende</w:t>
      </w:r>
      <w:r w:rsidRPr="7EE3D00F" w:rsidR="009931F2">
        <w:rPr>
          <w:rFonts w:ascii="Calibri" w:hAnsi="Calibri" w:cs="Calibri" w:asciiTheme="minorAscii" w:hAnsiTheme="minorAscii" w:cstheme="minorAscii"/>
          <w:color w:val="000000" w:themeColor="text1" w:themeTint="FF" w:themeShade="FF"/>
          <w:sz w:val="20"/>
          <w:szCs w:val="20"/>
          <w:lang w:val="es-ES"/>
        </w:rPr>
        <w:t>ría</w:t>
      </w:r>
      <w:r w:rsidRPr="7EE3D00F" w:rsidR="0088704D">
        <w:rPr>
          <w:rFonts w:ascii="Calibri" w:hAnsi="Calibri" w:cs="Calibri" w:asciiTheme="minorAscii" w:hAnsiTheme="minorAscii" w:cstheme="minorAscii"/>
          <w:color w:val="000000" w:themeColor="text1" w:themeTint="FF" w:themeShade="FF"/>
          <w:sz w:val="20"/>
          <w:szCs w:val="20"/>
          <w:lang w:val="es-ES"/>
        </w:rPr>
        <w:t xml:space="preserve"> a </w:t>
      </w:r>
      <w:r w:rsidRPr="7EE3D00F" w:rsidR="5BAE40D2">
        <w:rPr>
          <w:rFonts w:ascii="Calibri" w:hAnsi="Calibri" w:cs="Calibri" w:asciiTheme="minorAscii" w:hAnsiTheme="minorAscii" w:cstheme="minorAscii"/>
          <w:color w:val="000000" w:themeColor="text1" w:themeTint="FF" w:themeShade="FF"/>
          <w:sz w:val="20"/>
          <w:szCs w:val="20"/>
          <w:lang w:val="es-ES"/>
        </w:rPr>
        <w:t>3</w:t>
      </w:r>
      <w:r w:rsidRPr="7EE3D00F" w:rsidR="0088704D">
        <w:rPr>
          <w:rFonts w:ascii="Calibri" w:hAnsi="Calibri" w:cs="Calibri" w:asciiTheme="minorAscii" w:hAnsiTheme="minorAscii" w:cstheme="minorAscii"/>
          <w:color w:val="000000" w:themeColor="text1" w:themeTint="FF" w:themeShade="FF"/>
          <w:sz w:val="20"/>
          <w:szCs w:val="20"/>
          <w:lang w:val="es-ES"/>
        </w:rPr>
        <w:t>0</w:t>
      </w:r>
      <w:r w:rsidRPr="7EE3D00F" w:rsidR="5BAE40D2">
        <w:rPr>
          <w:rFonts w:ascii="Calibri" w:hAnsi="Calibri" w:cs="Calibri" w:asciiTheme="minorAscii" w:hAnsiTheme="minorAscii" w:cstheme="minorAscii"/>
          <w:color w:val="000000" w:themeColor="text1" w:themeTint="FF" w:themeShade="FF"/>
          <w:sz w:val="20"/>
          <w:szCs w:val="20"/>
          <w:lang w:val="es-ES"/>
        </w:rPr>
        <w:t>.000</w:t>
      </w:r>
      <w:r w:rsidRPr="7EE3D00F" w:rsidR="0088704D">
        <w:rPr>
          <w:rFonts w:ascii="Calibri" w:hAnsi="Calibri" w:cs="Calibri" w:asciiTheme="minorAscii" w:hAnsiTheme="minorAscii" w:cstheme="minorAscii"/>
          <w:color w:val="000000" w:themeColor="text1" w:themeTint="FF" w:themeShade="FF"/>
          <w:sz w:val="20"/>
          <w:szCs w:val="20"/>
          <w:lang w:val="es-ES"/>
        </w:rPr>
        <w:t>€.</w:t>
      </w:r>
      <w:r w:rsidRPr="7EE3D00F" w:rsidR="009846BE">
        <w:rPr>
          <w:rFonts w:ascii="Calibri" w:hAnsi="Calibri" w:cs="Calibri" w:asciiTheme="minorAscii" w:hAnsiTheme="minorAscii" w:cstheme="minorAscii"/>
          <w:color w:val="000000" w:themeColor="text1" w:themeTint="FF" w:themeShade="FF"/>
          <w:sz w:val="20"/>
          <w:szCs w:val="20"/>
          <w:lang w:val="es-ES"/>
        </w:rPr>
        <w:t xml:space="preserve"> La financiación se realizará a partir de recursos obtenidos de forma competitiva (solicitud de diferentes </w:t>
      </w:r>
      <w:r w:rsidRPr="7EE3D00F" w:rsidR="00466E72">
        <w:rPr>
          <w:rFonts w:ascii="Calibri" w:hAnsi="Calibri" w:cs="Calibri" w:asciiTheme="minorAscii" w:hAnsiTheme="minorAscii" w:cstheme="minorAscii"/>
          <w:color w:val="000000" w:themeColor="text1" w:themeTint="FF" w:themeShade="FF"/>
          <w:sz w:val="20"/>
          <w:szCs w:val="20"/>
          <w:lang w:val="es-ES"/>
        </w:rPr>
        <w:t xml:space="preserve">becas competitivas) y de forma no competitiva. </w:t>
      </w:r>
      <w:r w:rsidRPr="7EE3D00F" w:rsidR="00891D18">
        <w:rPr>
          <w:rFonts w:ascii="Calibri" w:hAnsi="Calibri" w:cs="Calibri" w:asciiTheme="minorAscii" w:hAnsiTheme="minorAscii" w:cstheme="minorAscii"/>
          <w:sz w:val="20"/>
          <w:szCs w:val="20"/>
          <w:lang w:val="es-ES"/>
        </w:rPr>
        <w:t xml:space="preserve">Actualmente, la Sociedad </w:t>
      </w:r>
      <w:r w:rsidRPr="7EE3D00F" w:rsidR="008F0CD2">
        <w:rPr>
          <w:rFonts w:ascii="Calibri" w:hAnsi="Calibri" w:cs="Calibri" w:asciiTheme="minorAscii" w:hAnsiTheme="minorAscii" w:cstheme="minorAscii"/>
          <w:color w:val="000000" w:themeColor="text1" w:themeTint="FF" w:themeShade="FF"/>
          <w:sz w:val="20"/>
          <w:szCs w:val="20"/>
          <w:lang w:val="es-ES"/>
        </w:rPr>
        <w:t xml:space="preserve">MADRILEÑA </w:t>
      </w:r>
      <w:r w:rsidRPr="7EE3D00F" w:rsidR="00891D18">
        <w:rPr>
          <w:rFonts w:ascii="Calibri" w:hAnsi="Calibri" w:cs="Calibri" w:asciiTheme="minorAscii" w:hAnsiTheme="minorAscii" w:cstheme="minorAscii"/>
          <w:sz w:val="20"/>
          <w:szCs w:val="20"/>
          <w:lang w:val="es-ES"/>
        </w:rPr>
        <w:t>de Nefrología (S</w:t>
      </w:r>
      <w:r w:rsidRPr="7EE3D00F" w:rsidR="008F0CD2">
        <w:rPr>
          <w:rFonts w:ascii="Calibri" w:hAnsi="Calibri" w:cs="Calibri" w:asciiTheme="minorAscii" w:hAnsiTheme="minorAscii" w:cstheme="minorAscii"/>
          <w:sz w:val="20"/>
          <w:szCs w:val="20"/>
          <w:lang w:val="es-ES"/>
        </w:rPr>
        <w:t>OMANE</w:t>
      </w:r>
      <w:r w:rsidRPr="7EE3D00F" w:rsidR="00891D18">
        <w:rPr>
          <w:rFonts w:ascii="Calibri" w:hAnsi="Calibri" w:cs="Calibri" w:asciiTheme="minorAscii" w:hAnsiTheme="minorAscii" w:cstheme="minorAscii"/>
          <w:sz w:val="20"/>
          <w:szCs w:val="20"/>
          <w:lang w:val="es-ES"/>
        </w:rPr>
        <w:t>) está presentando la propuesta real a diferentes entidades con el fin de obtener la financiación necesaria para desarrollar todo el proyecto.</w:t>
      </w:r>
      <w:r w:rsidRPr="7EE3D00F" w:rsidR="008F0CD2">
        <w:rPr>
          <w:rFonts w:ascii="Calibri" w:hAnsi="Calibri" w:cs="Calibri" w:asciiTheme="minorAscii" w:hAnsiTheme="minorAscii" w:cstheme="minorAscii"/>
          <w:sz w:val="20"/>
          <w:szCs w:val="20"/>
          <w:lang w:val="es-ES"/>
        </w:rPr>
        <w:t xml:space="preserve"> </w:t>
      </w:r>
      <w:r w:rsidRPr="7EE3D00F" w:rsidR="00F9221D">
        <w:rPr>
          <w:rFonts w:ascii="Calibri" w:hAnsi="Calibri" w:cs="Calibri" w:asciiTheme="minorAscii" w:hAnsiTheme="minorAscii" w:cstheme="minorAscii"/>
          <w:sz w:val="20"/>
          <w:szCs w:val="20"/>
          <w:lang w:val="es-ES"/>
        </w:rPr>
        <w:t>Hasta la fecha se dispone de un acuerdo con ALEXION-</w:t>
      </w:r>
      <w:r w:rsidRPr="7EE3D00F" w:rsidR="00F9221D">
        <w:rPr>
          <w:rFonts w:ascii="Calibri" w:hAnsi="Calibri" w:cs="Calibri" w:asciiTheme="minorAscii" w:hAnsiTheme="minorAscii" w:cstheme="minorAscii"/>
          <w:sz w:val="20"/>
          <w:szCs w:val="20"/>
          <w:lang w:val="es-ES"/>
        </w:rPr>
        <w:t>Pharma</w:t>
      </w:r>
      <w:r w:rsidRPr="7EE3D00F" w:rsidR="00377C33">
        <w:rPr>
          <w:rFonts w:ascii="Calibri" w:hAnsi="Calibri" w:cs="Calibri" w:asciiTheme="minorAscii" w:hAnsiTheme="minorAscii" w:cstheme="minorAscii"/>
          <w:sz w:val="20"/>
          <w:szCs w:val="20"/>
          <w:lang w:val="es-ES"/>
        </w:rPr>
        <w:t xml:space="preserve">, que aportará </w:t>
      </w:r>
      <w:r w:rsidRPr="7EE3D00F" w:rsidR="00C51EA3">
        <w:rPr>
          <w:rFonts w:ascii="Calibri" w:hAnsi="Calibri" w:cs="Calibri" w:asciiTheme="minorAscii" w:hAnsiTheme="minorAscii" w:cstheme="minorAscii"/>
          <w:sz w:val="20"/>
          <w:szCs w:val="20"/>
          <w:lang w:val="es-ES"/>
        </w:rPr>
        <w:t>3</w:t>
      </w:r>
      <w:r w:rsidRPr="7EE3D00F" w:rsidR="00377C33">
        <w:rPr>
          <w:rFonts w:ascii="Calibri" w:hAnsi="Calibri" w:cs="Calibri" w:asciiTheme="minorAscii" w:hAnsiTheme="minorAscii" w:cstheme="minorAscii"/>
          <w:sz w:val="20"/>
          <w:szCs w:val="20"/>
          <w:lang w:val="es-ES"/>
        </w:rPr>
        <w:t>0.000 €</w:t>
      </w:r>
      <w:r w:rsidRPr="7EE3D00F" w:rsidR="46501C64">
        <w:rPr>
          <w:rFonts w:ascii="Calibri" w:hAnsi="Calibri" w:cs="Calibri" w:asciiTheme="minorAscii" w:hAnsiTheme="minorAscii" w:cstheme="minorAscii"/>
          <w:sz w:val="20"/>
          <w:szCs w:val="20"/>
          <w:lang w:val="es-ES"/>
        </w:rPr>
        <w:t>.</w:t>
      </w:r>
    </w:p>
    <w:p w:rsidRPr="00685A4E" w:rsidR="00CB50E5" w:rsidP="00685A4E" w:rsidRDefault="00CB50E5" w14:paraId="7DF09B07" w14:textId="77777777">
      <w:pPr>
        <w:pStyle w:val="Default"/>
        <w:jc w:val="both"/>
        <w:rPr>
          <w:rFonts w:asciiTheme="minorHAnsi" w:hAnsiTheme="minorHAnsi" w:cstheme="minorHAnsi"/>
          <w:bCs/>
          <w:color w:val="auto"/>
          <w:sz w:val="20"/>
          <w:szCs w:val="20"/>
        </w:rPr>
      </w:pPr>
    </w:p>
    <w:p w:rsidRPr="00685A4E" w:rsidR="00E263C8" w:rsidP="00685A4E" w:rsidRDefault="00255610" w14:paraId="12784904" w14:textId="77777777">
      <w:pPr>
        <w:pStyle w:val="Default"/>
        <w:jc w:val="both"/>
        <w:rPr>
          <w:rFonts w:asciiTheme="minorHAnsi" w:hAnsiTheme="minorHAnsi" w:cstheme="minorHAnsi"/>
          <w:b/>
          <w:bCs/>
          <w:color w:val="auto"/>
          <w:sz w:val="20"/>
          <w:szCs w:val="20"/>
        </w:rPr>
      </w:pPr>
      <w:r w:rsidRPr="00685A4E">
        <w:rPr>
          <w:rFonts w:asciiTheme="minorHAnsi" w:hAnsiTheme="minorHAnsi" w:cstheme="minorHAnsi"/>
          <w:b/>
          <w:bCs/>
          <w:color w:val="auto"/>
          <w:sz w:val="20"/>
          <w:szCs w:val="20"/>
        </w:rPr>
        <w:t>14</w:t>
      </w:r>
      <w:r w:rsidRPr="00685A4E" w:rsidR="00E263C8">
        <w:rPr>
          <w:rFonts w:asciiTheme="minorHAnsi" w:hAnsiTheme="minorHAnsi" w:cstheme="minorHAnsi"/>
          <w:b/>
          <w:bCs/>
          <w:color w:val="auto"/>
          <w:sz w:val="20"/>
          <w:szCs w:val="20"/>
        </w:rPr>
        <w:tab/>
      </w:r>
      <w:proofErr w:type="gramStart"/>
      <w:r w:rsidRPr="00685A4E" w:rsidR="00E263C8">
        <w:rPr>
          <w:rFonts w:asciiTheme="minorHAnsi" w:hAnsiTheme="minorHAnsi" w:cstheme="minorHAnsi"/>
          <w:b/>
          <w:bCs/>
          <w:color w:val="auto"/>
          <w:sz w:val="20"/>
          <w:szCs w:val="20"/>
        </w:rPr>
        <w:t>Política</w:t>
      </w:r>
      <w:proofErr w:type="gramEnd"/>
      <w:r w:rsidRPr="00685A4E" w:rsidR="00E263C8">
        <w:rPr>
          <w:rFonts w:asciiTheme="minorHAnsi" w:hAnsiTheme="minorHAnsi" w:cstheme="minorHAnsi"/>
          <w:b/>
          <w:bCs/>
          <w:color w:val="auto"/>
          <w:sz w:val="20"/>
          <w:szCs w:val="20"/>
        </w:rPr>
        <w:t xml:space="preserve"> de Publicación </w:t>
      </w:r>
    </w:p>
    <w:p w:rsidRPr="00685A4E" w:rsidR="00891D18" w:rsidP="00685A4E" w:rsidRDefault="00891D18" w14:paraId="2B95E07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bCs/>
          <w:color w:val="000000"/>
          <w:sz w:val="20"/>
          <w:lang w:val="es-ES"/>
        </w:rPr>
      </w:pPr>
      <w:r w:rsidRPr="00685A4E">
        <w:rPr>
          <w:rFonts w:asciiTheme="minorHAnsi" w:hAnsiTheme="minorHAnsi" w:cstheme="minorHAnsi"/>
          <w:b/>
          <w:bCs/>
          <w:color w:val="000000"/>
          <w:sz w:val="20"/>
          <w:lang w:val="es-ES"/>
        </w:rPr>
        <w:t>Plan de difusión</w:t>
      </w:r>
    </w:p>
    <w:p w:rsidRPr="00685A4E" w:rsidR="00891D18" w:rsidP="00685A4E" w:rsidRDefault="00891D18" w14:paraId="2FD1100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 xml:space="preserve">Los resultados del proyecto se presentarán en congresos nacionales e internacionales de Nefrología y Enfermedades Hereditarias. Los resultados se publicarán en revistas de alto nivel a través de código abierto. Una de las prioridades de la Sociedad Española de Nefrología ha sido comunicar el conocimiento que generamos no solo a la comunidad científica, sino también a los pacientes ya la sociedad en general. Los grupos de investigación que participan en esta propuesta están muy </w:t>
      </w:r>
      <w:r w:rsidRPr="00685A4E">
        <w:rPr>
          <w:rFonts w:asciiTheme="minorHAnsi" w:hAnsiTheme="minorHAnsi" w:cstheme="minorHAnsi"/>
          <w:color w:val="000000"/>
          <w:sz w:val="20"/>
          <w:lang w:val="es-ES"/>
        </w:rPr>
        <w:t>involucrados en iniciativas tanto nacionales como internacionales y generarán sinergias para la difusión y explotación de los resultados de la investigación dentro de las principales plataformas de sus Sociedades Nacionales e Internacionales y asociaciones de pacientes como ALCER.</w:t>
      </w:r>
    </w:p>
    <w:p w:rsidRPr="00685A4E" w:rsidR="0099439C" w:rsidP="00685A4E" w:rsidRDefault="00891D18" w14:paraId="0261558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0"/>
          <w:lang w:val="es-ES"/>
        </w:rPr>
      </w:pPr>
      <w:r w:rsidRPr="00685A4E">
        <w:rPr>
          <w:rFonts w:asciiTheme="minorHAnsi" w:hAnsiTheme="minorHAnsi" w:cstheme="minorHAnsi"/>
          <w:color w:val="000000"/>
          <w:sz w:val="20"/>
          <w:lang w:val="es-ES"/>
        </w:rPr>
        <w:t>Los hallazgos clave de este proyecto se compartirán con el público y los medios a través de comunicados de prensa, conferencias de prensa, informes científicos y redes sociales. Para eso contamos con el apoyo de nuestros equipos de prensa institucionales, contactos de medios y posicionamiento en redes sociales. La difusión de resultados e hitos destacados se hará accesible a través de la web institucional y específica de las sociedades científicas y redes sociales.</w:t>
      </w:r>
    </w:p>
    <w:sectPr w:rsidRPr="00685A4E" w:rsidR="0099439C" w:rsidSect="004B1CA8">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42E9" w:rsidP="008A0A7C" w:rsidRDefault="00D042E9" w14:paraId="7EC3D38B" w14:textId="77777777">
      <w:r>
        <w:separator/>
      </w:r>
    </w:p>
  </w:endnote>
  <w:endnote w:type="continuationSeparator" w:id="0">
    <w:p w:rsidR="00D042E9" w:rsidP="008A0A7C" w:rsidRDefault="00D042E9" w14:paraId="005AD7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5486">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A49" w:rsidRDefault="00DC2A49" w14:paraId="481343B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404" w:rsidP="008A0A7C" w:rsidRDefault="008F0CD2" w14:paraId="10CD0FFF" w14:textId="7453DCF2">
    <w:pPr>
      <w:rPr>
        <w:rFonts w:ascii="Trebuchet MS" w:hAnsi="Trebuchet MS"/>
        <w:sz w:val="18"/>
        <w:szCs w:val="18"/>
        <w:lang w:val="ca-ES"/>
      </w:rPr>
    </w:pPr>
    <w:r>
      <w:rPr>
        <w:rFonts w:cs="5486" w:asciiTheme="minorHAnsi" w:hAnsiTheme="minorHAnsi"/>
        <w:bCs/>
        <w:sz w:val="22"/>
        <w:szCs w:val="22"/>
        <w:lang w:val="es-ES"/>
      </w:rPr>
      <w:t xml:space="preserve">ESTUDIO </w:t>
    </w:r>
    <w:r w:rsidRPr="008F0CD2">
      <w:rPr>
        <w:rFonts w:cs="5486" w:asciiTheme="minorHAnsi" w:hAnsiTheme="minorHAnsi"/>
        <w:bCs/>
        <w:sz w:val="22"/>
        <w:szCs w:val="22"/>
        <w:lang w:val="es-ES"/>
      </w:rPr>
      <w:t>FOREVER (</w:t>
    </w:r>
    <w:proofErr w:type="spellStart"/>
    <w:r w:rsidRPr="008F0CD2">
      <w:rPr>
        <w:rFonts w:cs="5486" w:asciiTheme="minorHAnsi" w:hAnsiTheme="minorHAnsi"/>
        <w:bCs/>
        <w:sz w:val="22"/>
        <w:szCs w:val="22"/>
        <w:lang w:val="es-ES"/>
      </w:rPr>
      <w:t>FORo</w:t>
    </w:r>
    <w:proofErr w:type="spellEnd"/>
    <w:r w:rsidRPr="008F0CD2">
      <w:rPr>
        <w:rFonts w:cs="5486" w:asciiTheme="minorHAnsi" w:hAnsiTheme="minorHAnsi"/>
        <w:bCs/>
        <w:sz w:val="22"/>
        <w:szCs w:val="22"/>
        <w:lang w:val="es-ES"/>
      </w:rPr>
      <w:t xml:space="preserve"> para Encontrar la Verdadera Enfermedad Renal)</w:t>
    </w:r>
    <w:r w:rsidRPr="00212404" w:rsidR="00255610">
      <w:rPr>
        <w:rFonts w:ascii="Trebuchet MS" w:hAnsi="Trebuchet MS"/>
        <w:sz w:val="18"/>
        <w:szCs w:val="18"/>
        <w:lang w:val="ca-ES"/>
      </w:rPr>
      <w:tab/>
    </w:r>
    <w:r w:rsidRPr="00212404" w:rsidR="00255610">
      <w:rPr>
        <w:rFonts w:ascii="Trebuchet MS" w:hAnsi="Trebuchet MS"/>
        <w:sz w:val="18"/>
        <w:szCs w:val="18"/>
        <w:lang w:val="ca-ES"/>
      </w:rPr>
      <w:tab/>
    </w:r>
    <w:r w:rsidRPr="00212404" w:rsidR="00255610">
      <w:rPr>
        <w:rFonts w:ascii="Trebuchet MS" w:hAnsi="Trebuchet MS"/>
        <w:sz w:val="18"/>
        <w:szCs w:val="18"/>
        <w:lang w:val="ca-ES"/>
      </w:rPr>
      <w:tab/>
    </w:r>
    <w:r w:rsidRPr="00212404" w:rsidR="00255610">
      <w:rPr>
        <w:rFonts w:ascii="Trebuchet MS" w:hAnsi="Trebuchet MS"/>
        <w:sz w:val="18"/>
        <w:szCs w:val="18"/>
        <w:lang w:val="ca-ES"/>
      </w:rPr>
      <w:tab/>
    </w:r>
  </w:p>
  <w:p w:rsidRPr="00212404" w:rsidR="00255610" w:rsidP="00212404" w:rsidRDefault="00212404" w14:paraId="25EB5792" w14:textId="4E63160E">
    <w:pPr>
      <w:pStyle w:val="Piedepgina"/>
      <w:rPr>
        <w:rFonts w:ascii="Trebuchet MS" w:hAnsi="Trebuchet MS"/>
        <w:sz w:val="18"/>
        <w:szCs w:val="18"/>
        <w:lang w:val="ca-ES"/>
      </w:rPr>
    </w:pPr>
    <w:r w:rsidRPr="00212404">
      <w:rPr>
        <w:rFonts w:ascii="Trebuchet MS" w:hAnsi="Trebuchet MS"/>
        <w:sz w:val="18"/>
        <w:szCs w:val="18"/>
        <w:lang w:val="ca-ES"/>
      </w:rPr>
      <w:t>Versió</w:t>
    </w:r>
    <w:r>
      <w:rPr>
        <w:rFonts w:ascii="Trebuchet MS" w:hAnsi="Trebuchet MS"/>
        <w:sz w:val="18"/>
        <w:szCs w:val="18"/>
        <w:lang w:val="ca-ES"/>
      </w:rPr>
      <w:t>n</w:t>
    </w:r>
    <w:r w:rsidR="00115DFB">
      <w:rPr>
        <w:rFonts w:ascii="Trebuchet MS" w:hAnsi="Trebuchet MS"/>
        <w:sz w:val="18"/>
        <w:szCs w:val="18"/>
        <w:lang w:val="ca-ES"/>
      </w:rPr>
      <w:t>1</w:t>
    </w:r>
    <w:r w:rsidRPr="00212404">
      <w:rPr>
        <w:rFonts w:ascii="Trebuchet MS" w:hAnsi="Trebuchet MS"/>
        <w:sz w:val="18"/>
        <w:szCs w:val="18"/>
        <w:lang w:val="ca-ES"/>
      </w:rPr>
      <w:t xml:space="preserve"> de </w:t>
    </w:r>
    <w:r w:rsidR="00F820F3">
      <w:rPr>
        <w:rFonts w:ascii="Trebuchet MS" w:hAnsi="Trebuchet MS"/>
        <w:sz w:val="18"/>
        <w:szCs w:val="18"/>
        <w:lang w:val="ca-ES"/>
      </w:rPr>
      <w:t>0</w:t>
    </w:r>
    <w:r w:rsidR="00115DFB">
      <w:rPr>
        <w:rFonts w:ascii="Trebuchet MS" w:hAnsi="Trebuchet MS"/>
        <w:sz w:val="18"/>
        <w:szCs w:val="18"/>
        <w:lang w:val="ca-ES"/>
      </w:rPr>
      <w:t>3</w:t>
    </w:r>
    <w:r w:rsidRPr="00212404">
      <w:rPr>
        <w:rFonts w:ascii="Trebuchet MS" w:hAnsi="Trebuchet MS"/>
        <w:sz w:val="18"/>
        <w:szCs w:val="18"/>
        <w:lang w:val="ca-ES"/>
      </w:rPr>
      <w:t>.</w:t>
    </w:r>
    <w:r w:rsidR="00115DFB">
      <w:rPr>
        <w:rFonts w:ascii="Trebuchet MS" w:hAnsi="Trebuchet MS"/>
        <w:sz w:val="18"/>
        <w:szCs w:val="18"/>
        <w:lang w:val="ca-ES"/>
      </w:rPr>
      <w:t>23</w:t>
    </w:r>
    <w:r w:rsidRPr="00212404">
      <w:rPr>
        <w:rFonts w:ascii="Trebuchet MS" w:hAnsi="Trebuchet MS"/>
        <w:sz w:val="18"/>
        <w:szCs w:val="18"/>
        <w:lang w:val="ca-ES"/>
      </w:rPr>
      <w:t>.202</w:t>
    </w:r>
    <w:r w:rsidR="00115DFB">
      <w:rPr>
        <w:rFonts w:ascii="Trebuchet MS" w:hAnsi="Trebuchet MS"/>
        <w:sz w:val="18"/>
        <w:szCs w:val="18"/>
        <w:lang w:val="ca-ES"/>
      </w:rPr>
      <w:t>3</w:t>
    </w:r>
    <w:r>
      <w:rPr>
        <w:rFonts w:ascii="Trebuchet MS" w:hAnsi="Trebuchet MS"/>
        <w:sz w:val="18"/>
        <w:szCs w:val="18"/>
        <w:lang w:val="ca-ES"/>
      </w:rPr>
      <w:tab/>
    </w:r>
    <w:r>
      <w:rPr>
        <w:rFonts w:ascii="Trebuchet MS" w:hAnsi="Trebuchet MS"/>
        <w:sz w:val="18"/>
        <w:szCs w:val="18"/>
        <w:lang w:val="ca-ES"/>
      </w:rPr>
      <w:tab/>
    </w:r>
    <w:r w:rsidRPr="00212404" w:rsidR="00255610">
      <w:rPr>
        <w:rFonts w:ascii="Trebuchet MS" w:hAnsi="Trebuchet MS"/>
        <w:sz w:val="18"/>
        <w:szCs w:val="18"/>
        <w:lang w:val="ca-ES"/>
      </w:rPr>
      <w:t>P</w:t>
    </w:r>
    <w:r>
      <w:rPr>
        <w:rFonts w:ascii="Trebuchet MS" w:hAnsi="Trebuchet MS"/>
        <w:sz w:val="18"/>
        <w:szCs w:val="18"/>
        <w:lang w:val="ca-ES"/>
      </w:rPr>
      <w:t>á</w:t>
    </w:r>
    <w:r w:rsidRPr="00212404" w:rsidR="00255610">
      <w:rPr>
        <w:rFonts w:ascii="Trebuchet MS" w:hAnsi="Trebuchet MS"/>
        <w:sz w:val="18"/>
        <w:szCs w:val="18"/>
        <w:lang w:val="ca-ES"/>
      </w:rPr>
      <w:t>gina</w:t>
    </w:r>
    <w:r w:rsidRPr="00212404" w:rsidR="005E0E75">
      <w:rPr>
        <w:rFonts w:ascii="Trebuchet MS" w:hAnsi="Trebuchet MS"/>
        <w:sz w:val="18"/>
        <w:szCs w:val="18"/>
        <w:lang w:val="ca-ES"/>
      </w:rPr>
      <w:fldChar w:fldCharType="begin"/>
    </w:r>
    <w:r w:rsidRPr="00212404" w:rsidR="00255610">
      <w:rPr>
        <w:rFonts w:ascii="Trebuchet MS" w:hAnsi="Trebuchet MS"/>
        <w:sz w:val="18"/>
        <w:szCs w:val="18"/>
        <w:lang w:val="ca-ES"/>
      </w:rPr>
      <w:instrText xml:space="preserve"> PAGE </w:instrText>
    </w:r>
    <w:r w:rsidRPr="00212404" w:rsidR="005E0E75">
      <w:rPr>
        <w:rFonts w:ascii="Trebuchet MS" w:hAnsi="Trebuchet MS"/>
        <w:sz w:val="18"/>
        <w:szCs w:val="18"/>
        <w:lang w:val="ca-ES"/>
      </w:rPr>
      <w:fldChar w:fldCharType="separate"/>
    </w:r>
    <w:r w:rsidR="00D46CDA">
      <w:rPr>
        <w:rFonts w:ascii="Trebuchet MS" w:hAnsi="Trebuchet MS"/>
        <w:noProof/>
        <w:sz w:val="18"/>
        <w:szCs w:val="18"/>
        <w:lang w:val="ca-ES"/>
      </w:rPr>
      <w:t>11</w:t>
    </w:r>
    <w:r w:rsidRPr="00212404" w:rsidR="005E0E75">
      <w:rPr>
        <w:rFonts w:ascii="Trebuchet MS" w:hAnsi="Trebuchet MS"/>
        <w:sz w:val="18"/>
        <w:szCs w:val="18"/>
        <w:lang w:val="ca-ES"/>
      </w:rPr>
      <w:fldChar w:fldCharType="end"/>
    </w:r>
    <w:r w:rsidRPr="00212404" w:rsidR="00255610">
      <w:rPr>
        <w:rFonts w:ascii="Trebuchet MS" w:hAnsi="Trebuchet MS"/>
        <w:sz w:val="18"/>
        <w:szCs w:val="18"/>
        <w:lang w:val="ca-ES"/>
      </w:rPr>
      <w:t xml:space="preserve"> de </w:t>
    </w:r>
    <w:r w:rsidRPr="00212404" w:rsidR="005E0E75">
      <w:rPr>
        <w:rFonts w:ascii="Trebuchet MS" w:hAnsi="Trebuchet MS"/>
        <w:sz w:val="18"/>
        <w:szCs w:val="18"/>
        <w:lang w:val="ca-ES"/>
      </w:rPr>
      <w:fldChar w:fldCharType="begin"/>
    </w:r>
    <w:r w:rsidRPr="00212404" w:rsidR="00255610">
      <w:rPr>
        <w:rFonts w:ascii="Trebuchet MS" w:hAnsi="Trebuchet MS"/>
        <w:sz w:val="18"/>
        <w:szCs w:val="18"/>
        <w:lang w:val="ca-ES"/>
      </w:rPr>
      <w:instrText xml:space="preserve"> NUMPAGES  </w:instrText>
    </w:r>
    <w:r w:rsidRPr="00212404" w:rsidR="005E0E75">
      <w:rPr>
        <w:rFonts w:ascii="Trebuchet MS" w:hAnsi="Trebuchet MS"/>
        <w:sz w:val="18"/>
        <w:szCs w:val="18"/>
        <w:lang w:val="ca-ES"/>
      </w:rPr>
      <w:fldChar w:fldCharType="separate"/>
    </w:r>
    <w:r w:rsidR="00D46CDA">
      <w:rPr>
        <w:rFonts w:ascii="Trebuchet MS" w:hAnsi="Trebuchet MS"/>
        <w:noProof/>
        <w:sz w:val="18"/>
        <w:szCs w:val="18"/>
        <w:lang w:val="ca-ES"/>
      </w:rPr>
      <w:t>15</w:t>
    </w:r>
    <w:r w:rsidRPr="00212404" w:rsidR="005E0E75">
      <w:rPr>
        <w:rFonts w:ascii="Trebuchet MS" w:hAnsi="Trebuchet MS"/>
        <w:sz w:val="18"/>
        <w:szCs w:val="18"/>
        <w:lang w:val="ca-ES"/>
      </w:rPr>
      <w:fldChar w:fldCharType="end"/>
    </w:r>
  </w:p>
  <w:p w:rsidRPr="001C352B" w:rsidR="00255610" w:rsidP="008A0A7C" w:rsidRDefault="00255610" w14:paraId="508B3CC7" w14:textId="77777777">
    <w:pPr>
      <w:pStyle w:val="Piedepgina"/>
      <w:rPr>
        <w:rFonts w:ascii="Trebuchet MS" w:hAnsi="Trebuchet MS"/>
        <w:sz w:val="18"/>
        <w:szCs w:val="18"/>
        <w:lang w:val="ca-ES"/>
      </w:rPr>
    </w:pPr>
  </w:p>
  <w:p w:rsidR="00255610" w:rsidRDefault="00255610" w14:paraId="08A775B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A49" w:rsidRDefault="00DC2A49" w14:paraId="1B57B0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42E9" w:rsidP="008A0A7C" w:rsidRDefault="00D042E9" w14:paraId="1EBE8144" w14:textId="77777777">
      <w:r>
        <w:separator/>
      </w:r>
    </w:p>
  </w:footnote>
  <w:footnote w:type="continuationSeparator" w:id="0">
    <w:p w:rsidR="00D042E9" w:rsidP="008A0A7C" w:rsidRDefault="00D042E9" w14:paraId="610CA7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A49" w:rsidRDefault="00DC2A49" w14:paraId="72DFF5B6"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2426" w:rsidRDefault="00772426" w14:paraId="52E16397" w14:textId="0E2C628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A49" w:rsidRDefault="00DC2A49" w14:paraId="6C294475"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823"/>
    <w:multiLevelType w:val="hybridMultilevel"/>
    <w:tmpl w:val="F43AFDD0"/>
    <w:lvl w:ilvl="0" w:tplc="2FBA7278">
      <w:start w:val="6"/>
      <w:numFmt w:val="bullet"/>
      <w:lvlText w:val="-"/>
      <w:lvlJc w:val="left"/>
      <w:pPr>
        <w:ind w:left="720" w:hanging="360"/>
      </w:pPr>
      <w:rPr>
        <w:rFonts w:hint="default" w:ascii="Trebuchet MS" w:hAnsi="Trebuchet MS" w:eastAsia="Times New Roman" w:cs="5486"/>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14B34A36"/>
    <w:multiLevelType w:val="hybridMultilevel"/>
    <w:tmpl w:val="B26EA9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E666219"/>
    <w:multiLevelType w:val="multilevel"/>
    <w:tmpl w:val="32F663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56E36B2"/>
    <w:multiLevelType w:val="hybridMultilevel"/>
    <w:tmpl w:val="14A673CE"/>
    <w:lvl w:ilvl="0" w:tplc="5726DB20">
      <w:start w:val="9"/>
      <w:numFmt w:val="bullet"/>
      <w:lvlText w:val="-"/>
      <w:lvlJc w:val="left"/>
      <w:pPr>
        <w:ind w:left="720" w:hanging="360"/>
      </w:pPr>
      <w:rPr>
        <w:rFonts w:hint="default" w:ascii="Trebuchet MS" w:hAnsi="Trebuchet MS" w:eastAsia="Times New Roman" w:cs="5486"/>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26A42CEE"/>
    <w:multiLevelType w:val="hybridMultilevel"/>
    <w:tmpl w:val="C9B82876"/>
    <w:lvl w:ilvl="0" w:tplc="B48C1134">
      <w:start w:val="4"/>
      <w:numFmt w:val="bullet"/>
      <w:lvlText w:val="-"/>
      <w:lvlJc w:val="left"/>
      <w:pPr>
        <w:ind w:left="720" w:hanging="360"/>
      </w:pPr>
      <w:rPr>
        <w:rFonts w:hint="default" w:ascii="Arial" w:hAnsi="Arial" w:eastAsia="Calibri"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2C770E20"/>
    <w:multiLevelType w:val="hybridMultilevel"/>
    <w:tmpl w:val="4E0A2D0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3E6C7DBF"/>
    <w:multiLevelType w:val="hybridMultilevel"/>
    <w:tmpl w:val="A2DC6514"/>
    <w:lvl w:ilvl="0" w:tplc="FFFFFFFF">
      <w:start w:val="1"/>
      <w:numFmt w:val="decimal"/>
      <w:lvlText w:val="%1."/>
      <w:lvlJc w:val="left"/>
      <w:pPr>
        <w:ind w:left="720" w:hanging="360"/>
      </w:pPr>
      <w:rPr>
        <w:rFonts w:ascii="Arial" w:hAnsi="Arial" w:eastAsia="Calibri"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481C1F"/>
    <w:multiLevelType w:val="hybridMultilevel"/>
    <w:tmpl w:val="15A0E43E"/>
    <w:lvl w:ilvl="0" w:tplc="271EF09C">
      <w:start w:val="12"/>
      <w:numFmt w:val="bullet"/>
      <w:lvlText w:val="-"/>
      <w:lvlJc w:val="left"/>
      <w:pPr>
        <w:ind w:left="720" w:hanging="360"/>
      </w:pPr>
      <w:rPr>
        <w:rFonts w:hint="default" w:ascii="Trebuchet MS" w:hAnsi="Trebuchet MS" w:eastAsia="Times New Roman"/>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42463FC4"/>
    <w:multiLevelType w:val="hybridMultilevel"/>
    <w:tmpl w:val="2BA4B892"/>
    <w:lvl w:ilvl="0" w:tplc="F7F4173E">
      <w:start w:val="2"/>
      <w:numFmt w:val="bullet"/>
      <w:lvlText w:val="-"/>
      <w:lvlJc w:val="left"/>
      <w:pPr>
        <w:ind w:left="720" w:hanging="360"/>
      </w:pPr>
      <w:rPr>
        <w:rFonts w:hint="default" w:ascii="Trebuchet MS" w:hAnsi="Trebuchet MS" w:eastAsia="Times New Roman"/>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51A16343"/>
    <w:multiLevelType w:val="hybridMultilevel"/>
    <w:tmpl w:val="2E02838C"/>
    <w:lvl w:ilvl="0" w:tplc="CDB05A6A">
      <w:start w:val="8"/>
      <w:numFmt w:val="decimal"/>
      <w:lvlText w:val="%1"/>
      <w:lvlJc w:val="left"/>
      <w:pPr>
        <w:tabs>
          <w:tab w:val="num" w:pos="1065"/>
        </w:tabs>
        <w:ind w:left="1065" w:hanging="705"/>
      </w:pPr>
      <w:rPr>
        <w:rFonts w:hint="default"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DE77DA"/>
    <w:multiLevelType w:val="hybridMultilevel"/>
    <w:tmpl w:val="0896B682"/>
    <w:lvl w:ilvl="0" w:tplc="D0BA134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6E27137"/>
    <w:multiLevelType w:val="hybridMultilevel"/>
    <w:tmpl w:val="F62EFE10"/>
    <w:lvl w:ilvl="0" w:tplc="7A441716">
      <w:start w:val="6"/>
      <w:numFmt w:val="bullet"/>
      <w:lvlText w:val="-"/>
      <w:lvlJc w:val="left"/>
      <w:pPr>
        <w:ind w:left="720" w:hanging="360"/>
      </w:pPr>
      <w:rPr>
        <w:rFonts w:hint="default" w:ascii="Trebuchet MS" w:hAnsi="Trebuchet MS" w:eastAsia="Times New Roman" w:cs="5486"/>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58AE64AA"/>
    <w:multiLevelType w:val="hybridMultilevel"/>
    <w:tmpl w:val="82404A6E"/>
    <w:lvl w:ilvl="0" w:tplc="7BC82486">
      <w:start w:val="6"/>
      <w:numFmt w:val="bullet"/>
      <w:lvlText w:val="-"/>
      <w:lvlJc w:val="left"/>
      <w:pPr>
        <w:ind w:left="720" w:hanging="360"/>
      </w:pPr>
      <w:rPr>
        <w:rFonts w:hint="default" w:ascii="Trebuchet MS" w:hAnsi="Trebuchet MS" w:eastAsia="Times New Roman" w:cs="5486"/>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5DFA070D"/>
    <w:multiLevelType w:val="multilevel"/>
    <w:tmpl w:val="738C35FA"/>
    <w:lvl w:ilvl="0">
      <w:start w:val="1"/>
      <w:numFmt w:val="decimal"/>
      <w:lvlText w:val="%1"/>
      <w:lvlJc w:val="left"/>
      <w:pPr>
        <w:tabs>
          <w:tab w:val="num" w:pos="705"/>
        </w:tabs>
        <w:ind w:left="705" w:hanging="705"/>
      </w:pPr>
      <w:rPr>
        <w:rFonts w:hint="default" w:cs="Times New Roman"/>
      </w:rPr>
    </w:lvl>
    <w:lvl w:ilvl="1">
      <w:start w:val="3"/>
      <w:numFmt w:val="decimal"/>
      <w:lvlText w:val="%1.%2"/>
      <w:lvlJc w:val="left"/>
      <w:pPr>
        <w:tabs>
          <w:tab w:val="num" w:pos="705"/>
        </w:tabs>
        <w:ind w:left="705" w:hanging="70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4" w15:restartNumberingAfterBreak="0">
    <w:nsid w:val="66D7087F"/>
    <w:multiLevelType w:val="multilevel"/>
    <w:tmpl w:val="3D8C922C"/>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6365BD"/>
    <w:multiLevelType w:val="hybridMultilevel"/>
    <w:tmpl w:val="5EF8E6AA"/>
    <w:lvl w:ilvl="0" w:tplc="B48C1134">
      <w:start w:val="4"/>
      <w:numFmt w:val="bullet"/>
      <w:lvlText w:val="-"/>
      <w:lvlJc w:val="left"/>
      <w:pPr>
        <w:ind w:left="720" w:hanging="360"/>
      </w:pPr>
      <w:rPr>
        <w:rFonts w:hint="default" w:ascii="Arial" w:hAnsi="Arial" w:eastAsia="Calibri" w:cs="Aria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6BC074E9"/>
    <w:multiLevelType w:val="hybridMultilevel"/>
    <w:tmpl w:val="B5CAB66A"/>
    <w:lvl w:ilvl="0" w:tplc="599E925E">
      <w:start w:val="3"/>
      <w:numFmt w:val="bullet"/>
      <w:lvlText w:val="-"/>
      <w:lvlJc w:val="left"/>
      <w:pPr>
        <w:ind w:left="720" w:hanging="360"/>
      </w:pPr>
      <w:rPr>
        <w:rFonts w:hint="default" w:ascii="Calibri" w:hAnsi="Calibri" w:eastAsia="Times New Roman" w:cs="Calibr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7" w15:restartNumberingAfterBreak="0">
    <w:nsid w:val="7814654A"/>
    <w:multiLevelType w:val="hybridMultilevel"/>
    <w:tmpl w:val="1ED664DC"/>
    <w:lvl w:ilvl="0" w:tplc="E4D8ECF4">
      <w:start w:val="1"/>
      <w:numFmt w:val="decimal"/>
      <w:lvlText w:val="%1."/>
      <w:lvlJc w:val="left"/>
      <w:pPr>
        <w:ind w:left="720" w:hanging="360"/>
      </w:pPr>
      <w:rPr>
        <w:rFonts w:ascii="Arial" w:hAnsi="Arial" w:eastAsia="Calibri"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F8A2D88"/>
    <w:multiLevelType w:val="multilevel"/>
    <w:tmpl w:val="03321444"/>
    <w:lvl w:ilvl="0">
      <w:start w:val="9"/>
      <w:numFmt w:val="decimal"/>
      <w:lvlText w:val="%1"/>
      <w:lvlJc w:val="left"/>
      <w:pPr>
        <w:tabs>
          <w:tab w:val="num" w:pos="705"/>
        </w:tabs>
        <w:ind w:left="705" w:hanging="705"/>
      </w:pPr>
      <w:rPr>
        <w:rFonts w:hint="default" w:cs="Times New Roman"/>
      </w:rPr>
    </w:lvl>
    <w:lvl w:ilvl="1">
      <w:start w:val="7"/>
      <w:numFmt w:val="decimal"/>
      <w:lvlText w:val="%1.%2"/>
      <w:lvlJc w:val="left"/>
      <w:pPr>
        <w:tabs>
          <w:tab w:val="num" w:pos="705"/>
        </w:tabs>
        <w:ind w:left="705" w:hanging="70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num w:numId="1" w16cid:durableId="780957734">
    <w:abstractNumId w:val="9"/>
  </w:num>
  <w:num w:numId="2" w16cid:durableId="1155492508">
    <w:abstractNumId w:val="18"/>
  </w:num>
  <w:num w:numId="3" w16cid:durableId="1979918513">
    <w:abstractNumId w:val="13"/>
  </w:num>
  <w:num w:numId="4" w16cid:durableId="1129737604">
    <w:abstractNumId w:val="8"/>
  </w:num>
  <w:num w:numId="5" w16cid:durableId="1429618792">
    <w:abstractNumId w:val="7"/>
  </w:num>
  <w:num w:numId="6" w16cid:durableId="1140684309">
    <w:abstractNumId w:val="3"/>
  </w:num>
  <w:num w:numId="7" w16cid:durableId="648705954">
    <w:abstractNumId w:val="12"/>
  </w:num>
  <w:num w:numId="8" w16cid:durableId="1400857657">
    <w:abstractNumId w:val="11"/>
  </w:num>
  <w:num w:numId="9" w16cid:durableId="15740111">
    <w:abstractNumId w:val="0"/>
  </w:num>
  <w:num w:numId="10" w16cid:durableId="1127315195">
    <w:abstractNumId w:val="1"/>
  </w:num>
  <w:num w:numId="11" w16cid:durableId="1115639529">
    <w:abstractNumId w:val="14"/>
  </w:num>
  <w:num w:numId="12" w16cid:durableId="132605938">
    <w:abstractNumId w:val="2"/>
  </w:num>
  <w:num w:numId="13" w16cid:durableId="1161238679">
    <w:abstractNumId w:val="5"/>
  </w:num>
  <w:num w:numId="14" w16cid:durableId="451901826">
    <w:abstractNumId w:val="17"/>
  </w:num>
  <w:num w:numId="15" w16cid:durableId="448087305">
    <w:abstractNumId w:val="6"/>
  </w:num>
  <w:num w:numId="16" w16cid:durableId="2144230612">
    <w:abstractNumId w:val="10"/>
  </w:num>
  <w:num w:numId="17" w16cid:durableId="894973502">
    <w:abstractNumId w:val="15"/>
  </w:num>
  <w:num w:numId="18" w16cid:durableId="169369548">
    <w:abstractNumId w:val="4"/>
  </w:num>
  <w:num w:numId="19" w16cid:durableId="136459212">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3"/>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670"/>
    <w:rsid w:val="0002072E"/>
    <w:rsid w:val="00022F81"/>
    <w:rsid w:val="000258B3"/>
    <w:rsid w:val="000503EA"/>
    <w:rsid w:val="00060360"/>
    <w:rsid w:val="000643EB"/>
    <w:rsid w:val="00073B31"/>
    <w:rsid w:val="00083CAF"/>
    <w:rsid w:val="000844C1"/>
    <w:rsid w:val="0009590F"/>
    <w:rsid w:val="00096670"/>
    <w:rsid w:val="000A3C7E"/>
    <w:rsid w:val="000B3F59"/>
    <w:rsid w:val="000C0F56"/>
    <w:rsid w:val="000C4DB4"/>
    <w:rsid w:val="000E4603"/>
    <w:rsid w:val="000E6DCC"/>
    <w:rsid w:val="000F4DB3"/>
    <w:rsid w:val="001005AA"/>
    <w:rsid w:val="00112DC9"/>
    <w:rsid w:val="00115DFB"/>
    <w:rsid w:val="00122222"/>
    <w:rsid w:val="00133B82"/>
    <w:rsid w:val="00152968"/>
    <w:rsid w:val="001545E9"/>
    <w:rsid w:val="00171352"/>
    <w:rsid w:val="0017424F"/>
    <w:rsid w:val="00181F3B"/>
    <w:rsid w:val="00186E9D"/>
    <w:rsid w:val="001A0147"/>
    <w:rsid w:val="001A78BE"/>
    <w:rsid w:val="001B2AF7"/>
    <w:rsid w:val="001B6844"/>
    <w:rsid w:val="001C352B"/>
    <w:rsid w:val="001C3C4B"/>
    <w:rsid w:val="001C56A6"/>
    <w:rsid w:val="001D014A"/>
    <w:rsid w:val="001E5E9C"/>
    <w:rsid w:val="00201B51"/>
    <w:rsid w:val="00212404"/>
    <w:rsid w:val="00217122"/>
    <w:rsid w:val="0022779D"/>
    <w:rsid w:val="00227FF6"/>
    <w:rsid w:val="0023056D"/>
    <w:rsid w:val="00255610"/>
    <w:rsid w:val="00255D78"/>
    <w:rsid w:val="00272BC2"/>
    <w:rsid w:val="00285A09"/>
    <w:rsid w:val="002864AF"/>
    <w:rsid w:val="002872FF"/>
    <w:rsid w:val="002A1C63"/>
    <w:rsid w:val="002A549E"/>
    <w:rsid w:val="002B034B"/>
    <w:rsid w:val="002B0757"/>
    <w:rsid w:val="002B66BF"/>
    <w:rsid w:val="002B745A"/>
    <w:rsid w:val="002C2C89"/>
    <w:rsid w:val="002C3654"/>
    <w:rsid w:val="002D0FC2"/>
    <w:rsid w:val="002D275F"/>
    <w:rsid w:val="002D510F"/>
    <w:rsid w:val="002E4552"/>
    <w:rsid w:val="002F3D1F"/>
    <w:rsid w:val="00302E46"/>
    <w:rsid w:val="00304DDE"/>
    <w:rsid w:val="003062A2"/>
    <w:rsid w:val="00325E75"/>
    <w:rsid w:val="00327382"/>
    <w:rsid w:val="003579C3"/>
    <w:rsid w:val="003626FC"/>
    <w:rsid w:val="00371A06"/>
    <w:rsid w:val="00377C33"/>
    <w:rsid w:val="00380646"/>
    <w:rsid w:val="0038766C"/>
    <w:rsid w:val="003927EB"/>
    <w:rsid w:val="00393B63"/>
    <w:rsid w:val="00394DDD"/>
    <w:rsid w:val="003A3D1A"/>
    <w:rsid w:val="003A4B88"/>
    <w:rsid w:val="003A6030"/>
    <w:rsid w:val="003B117E"/>
    <w:rsid w:val="003B3F34"/>
    <w:rsid w:val="003C5B23"/>
    <w:rsid w:val="003C60C8"/>
    <w:rsid w:val="003C67B6"/>
    <w:rsid w:val="00403DDD"/>
    <w:rsid w:val="004070DF"/>
    <w:rsid w:val="004120C1"/>
    <w:rsid w:val="00414FEB"/>
    <w:rsid w:val="004208E6"/>
    <w:rsid w:val="00422B1D"/>
    <w:rsid w:val="00427E44"/>
    <w:rsid w:val="0043343F"/>
    <w:rsid w:val="00440BA6"/>
    <w:rsid w:val="00443365"/>
    <w:rsid w:val="00445BA2"/>
    <w:rsid w:val="0045441B"/>
    <w:rsid w:val="00463EEA"/>
    <w:rsid w:val="00466E72"/>
    <w:rsid w:val="00475719"/>
    <w:rsid w:val="00481D0D"/>
    <w:rsid w:val="00493364"/>
    <w:rsid w:val="004B0C96"/>
    <w:rsid w:val="004B1CA8"/>
    <w:rsid w:val="004B654B"/>
    <w:rsid w:val="004C7046"/>
    <w:rsid w:val="004D4838"/>
    <w:rsid w:val="004D6261"/>
    <w:rsid w:val="004E0D41"/>
    <w:rsid w:val="004E2F02"/>
    <w:rsid w:val="004F2B0B"/>
    <w:rsid w:val="004F3653"/>
    <w:rsid w:val="004F44DF"/>
    <w:rsid w:val="004F5031"/>
    <w:rsid w:val="004F51AE"/>
    <w:rsid w:val="004F5952"/>
    <w:rsid w:val="00500F08"/>
    <w:rsid w:val="0050160C"/>
    <w:rsid w:val="00501FAA"/>
    <w:rsid w:val="005119C9"/>
    <w:rsid w:val="00513BE3"/>
    <w:rsid w:val="00521464"/>
    <w:rsid w:val="005222BC"/>
    <w:rsid w:val="00531A50"/>
    <w:rsid w:val="005444E3"/>
    <w:rsid w:val="00545F1B"/>
    <w:rsid w:val="005515EE"/>
    <w:rsid w:val="00556A4E"/>
    <w:rsid w:val="00562F45"/>
    <w:rsid w:val="0056483F"/>
    <w:rsid w:val="00572025"/>
    <w:rsid w:val="00575CCF"/>
    <w:rsid w:val="00583520"/>
    <w:rsid w:val="00585EDA"/>
    <w:rsid w:val="005A3315"/>
    <w:rsid w:val="005C6E27"/>
    <w:rsid w:val="005D0A1B"/>
    <w:rsid w:val="005E0E75"/>
    <w:rsid w:val="005F09AC"/>
    <w:rsid w:val="005F3900"/>
    <w:rsid w:val="00600956"/>
    <w:rsid w:val="00614505"/>
    <w:rsid w:val="00624D8F"/>
    <w:rsid w:val="00627E51"/>
    <w:rsid w:val="0063207A"/>
    <w:rsid w:val="0063705C"/>
    <w:rsid w:val="00651251"/>
    <w:rsid w:val="00675038"/>
    <w:rsid w:val="00683153"/>
    <w:rsid w:val="00685A4E"/>
    <w:rsid w:val="006879B4"/>
    <w:rsid w:val="00687C01"/>
    <w:rsid w:val="0069193D"/>
    <w:rsid w:val="00694C1B"/>
    <w:rsid w:val="006A71F1"/>
    <w:rsid w:val="006B7D2F"/>
    <w:rsid w:val="006C4264"/>
    <w:rsid w:val="006C4F76"/>
    <w:rsid w:val="006D1DD4"/>
    <w:rsid w:val="006D4CE0"/>
    <w:rsid w:val="006E6485"/>
    <w:rsid w:val="006E6C72"/>
    <w:rsid w:val="006F23F2"/>
    <w:rsid w:val="0070596C"/>
    <w:rsid w:val="00714498"/>
    <w:rsid w:val="00717E01"/>
    <w:rsid w:val="00741BA9"/>
    <w:rsid w:val="00753E2D"/>
    <w:rsid w:val="00753FAD"/>
    <w:rsid w:val="00755C2C"/>
    <w:rsid w:val="007614BE"/>
    <w:rsid w:val="007703B1"/>
    <w:rsid w:val="00772426"/>
    <w:rsid w:val="00772DC4"/>
    <w:rsid w:val="00774D31"/>
    <w:rsid w:val="00776082"/>
    <w:rsid w:val="00786B04"/>
    <w:rsid w:val="007A5C04"/>
    <w:rsid w:val="007B3A5F"/>
    <w:rsid w:val="007B7503"/>
    <w:rsid w:val="007C2AA9"/>
    <w:rsid w:val="007D41C4"/>
    <w:rsid w:val="007F33E7"/>
    <w:rsid w:val="0080619A"/>
    <w:rsid w:val="008101D7"/>
    <w:rsid w:val="0083147E"/>
    <w:rsid w:val="008402ED"/>
    <w:rsid w:val="0084043E"/>
    <w:rsid w:val="00851070"/>
    <w:rsid w:val="00855AC8"/>
    <w:rsid w:val="008569FF"/>
    <w:rsid w:val="0088318F"/>
    <w:rsid w:val="008838AE"/>
    <w:rsid w:val="0088704D"/>
    <w:rsid w:val="00891545"/>
    <w:rsid w:val="00891D18"/>
    <w:rsid w:val="00892AE0"/>
    <w:rsid w:val="008A0A7C"/>
    <w:rsid w:val="008C0A17"/>
    <w:rsid w:val="008C4EDE"/>
    <w:rsid w:val="008D62FF"/>
    <w:rsid w:val="008E56DD"/>
    <w:rsid w:val="008F0CD2"/>
    <w:rsid w:val="00906F6A"/>
    <w:rsid w:val="00907A9A"/>
    <w:rsid w:val="00934A8A"/>
    <w:rsid w:val="00941E02"/>
    <w:rsid w:val="009429BF"/>
    <w:rsid w:val="00950B36"/>
    <w:rsid w:val="00967494"/>
    <w:rsid w:val="00980E90"/>
    <w:rsid w:val="009846BE"/>
    <w:rsid w:val="009931F2"/>
    <w:rsid w:val="0099439C"/>
    <w:rsid w:val="009A0908"/>
    <w:rsid w:val="009A13D7"/>
    <w:rsid w:val="009B03CB"/>
    <w:rsid w:val="009C0D3E"/>
    <w:rsid w:val="009D402F"/>
    <w:rsid w:val="009E3749"/>
    <w:rsid w:val="009F5739"/>
    <w:rsid w:val="00A22DAE"/>
    <w:rsid w:val="00A22EF0"/>
    <w:rsid w:val="00A22FC9"/>
    <w:rsid w:val="00A2527C"/>
    <w:rsid w:val="00A275E8"/>
    <w:rsid w:val="00A46B90"/>
    <w:rsid w:val="00A63DF1"/>
    <w:rsid w:val="00A733DC"/>
    <w:rsid w:val="00A96D1A"/>
    <w:rsid w:val="00AA655A"/>
    <w:rsid w:val="00AD0044"/>
    <w:rsid w:val="00AD0996"/>
    <w:rsid w:val="00AD456D"/>
    <w:rsid w:val="00AD78CE"/>
    <w:rsid w:val="00AF162A"/>
    <w:rsid w:val="00AF612F"/>
    <w:rsid w:val="00AF6BD6"/>
    <w:rsid w:val="00B00447"/>
    <w:rsid w:val="00B01D0C"/>
    <w:rsid w:val="00B30DC7"/>
    <w:rsid w:val="00B328BB"/>
    <w:rsid w:val="00B34F4F"/>
    <w:rsid w:val="00B37FAD"/>
    <w:rsid w:val="00B4615E"/>
    <w:rsid w:val="00B46377"/>
    <w:rsid w:val="00B479DA"/>
    <w:rsid w:val="00B548CD"/>
    <w:rsid w:val="00B73F46"/>
    <w:rsid w:val="00B75D9B"/>
    <w:rsid w:val="00B76FBB"/>
    <w:rsid w:val="00B85D93"/>
    <w:rsid w:val="00B94589"/>
    <w:rsid w:val="00B94C98"/>
    <w:rsid w:val="00B97374"/>
    <w:rsid w:val="00BA2BDF"/>
    <w:rsid w:val="00BB60F9"/>
    <w:rsid w:val="00BB6CB7"/>
    <w:rsid w:val="00BC636D"/>
    <w:rsid w:val="00BD1B47"/>
    <w:rsid w:val="00BD2A7A"/>
    <w:rsid w:val="00BD6684"/>
    <w:rsid w:val="00BE2F0E"/>
    <w:rsid w:val="00BE3D23"/>
    <w:rsid w:val="00BE79A1"/>
    <w:rsid w:val="00BF0AA0"/>
    <w:rsid w:val="00C02B54"/>
    <w:rsid w:val="00C10FA8"/>
    <w:rsid w:val="00C3138C"/>
    <w:rsid w:val="00C40078"/>
    <w:rsid w:val="00C41670"/>
    <w:rsid w:val="00C42ECE"/>
    <w:rsid w:val="00C46BF2"/>
    <w:rsid w:val="00C51EA3"/>
    <w:rsid w:val="00C53FE6"/>
    <w:rsid w:val="00C660FF"/>
    <w:rsid w:val="00C725F9"/>
    <w:rsid w:val="00C73B24"/>
    <w:rsid w:val="00C9108D"/>
    <w:rsid w:val="00C95932"/>
    <w:rsid w:val="00CB06C1"/>
    <w:rsid w:val="00CB087A"/>
    <w:rsid w:val="00CB50E5"/>
    <w:rsid w:val="00CB5210"/>
    <w:rsid w:val="00CC7C29"/>
    <w:rsid w:val="00D03557"/>
    <w:rsid w:val="00D042E9"/>
    <w:rsid w:val="00D049AA"/>
    <w:rsid w:val="00D150D8"/>
    <w:rsid w:val="00D24EA3"/>
    <w:rsid w:val="00D458AC"/>
    <w:rsid w:val="00D46CDA"/>
    <w:rsid w:val="00D63515"/>
    <w:rsid w:val="00D661D3"/>
    <w:rsid w:val="00D66CE1"/>
    <w:rsid w:val="00D80553"/>
    <w:rsid w:val="00D80D8A"/>
    <w:rsid w:val="00D856D1"/>
    <w:rsid w:val="00D92E16"/>
    <w:rsid w:val="00DA2C83"/>
    <w:rsid w:val="00DB5402"/>
    <w:rsid w:val="00DB5B48"/>
    <w:rsid w:val="00DC1B84"/>
    <w:rsid w:val="00DC2A49"/>
    <w:rsid w:val="00DC5DF1"/>
    <w:rsid w:val="00DD242E"/>
    <w:rsid w:val="00DD3EA0"/>
    <w:rsid w:val="00DE2D37"/>
    <w:rsid w:val="00DF00AF"/>
    <w:rsid w:val="00DF2B93"/>
    <w:rsid w:val="00E107F0"/>
    <w:rsid w:val="00E10E78"/>
    <w:rsid w:val="00E21CD5"/>
    <w:rsid w:val="00E263C8"/>
    <w:rsid w:val="00E336D2"/>
    <w:rsid w:val="00E33988"/>
    <w:rsid w:val="00E37245"/>
    <w:rsid w:val="00E45808"/>
    <w:rsid w:val="00E5304C"/>
    <w:rsid w:val="00E5315E"/>
    <w:rsid w:val="00E635B6"/>
    <w:rsid w:val="00E72FBF"/>
    <w:rsid w:val="00E73E12"/>
    <w:rsid w:val="00E77144"/>
    <w:rsid w:val="00E77EE9"/>
    <w:rsid w:val="00E800AE"/>
    <w:rsid w:val="00E872AA"/>
    <w:rsid w:val="00E93DA9"/>
    <w:rsid w:val="00EA464C"/>
    <w:rsid w:val="00EA4A71"/>
    <w:rsid w:val="00EB17F5"/>
    <w:rsid w:val="00EC63B8"/>
    <w:rsid w:val="00EC783B"/>
    <w:rsid w:val="00ED26E4"/>
    <w:rsid w:val="00ED3B1A"/>
    <w:rsid w:val="00ED7570"/>
    <w:rsid w:val="00EE2150"/>
    <w:rsid w:val="00EE6AD4"/>
    <w:rsid w:val="00EE6DF6"/>
    <w:rsid w:val="00F11C4F"/>
    <w:rsid w:val="00F20020"/>
    <w:rsid w:val="00F217AD"/>
    <w:rsid w:val="00F379D5"/>
    <w:rsid w:val="00F51B64"/>
    <w:rsid w:val="00F5339C"/>
    <w:rsid w:val="00F659E6"/>
    <w:rsid w:val="00F71010"/>
    <w:rsid w:val="00F73854"/>
    <w:rsid w:val="00F820F3"/>
    <w:rsid w:val="00F82815"/>
    <w:rsid w:val="00F844C3"/>
    <w:rsid w:val="00F86A7E"/>
    <w:rsid w:val="00F9221D"/>
    <w:rsid w:val="00F930FC"/>
    <w:rsid w:val="00FB1729"/>
    <w:rsid w:val="00FB204F"/>
    <w:rsid w:val="00FB6F01"/>
    <w:rsid w:val="00FC2157"/>
    <w:rsid w:val="00FC3842"/>
    <w:rsid w:val="00FD1519"/>
    <w:rsid w:val="00FD78DE"/>
    <w:rsid w:val="00FE4775"/>
    <w:rsid w:val="00FF035B"/>
    <w:rsid w:val="00FF3E1F"/>
    <w:rsid w:val="00FF7630"/>
    <w:rsid w:val="06EEF8E1"/>
    <w:rsid w:val="070FBE76"/>
    <w:rsid w:val="08AB8ED7"/>
    <w:rsid w:val="0DDF9E3D"/>
    <w:rsid w:val="10D2B74F"/>
    <w:rsid w:val="1AA4F8E8"/>
    <w:rsid w:val="29F4F75D"/>
    <w:rsid w:val="2B59AD7D"/>
    <w:rsid w:val="2C513541"/>
    <w:rsid w:val="369099F8"/>
    <w:rsid w:val="38A7C492"/>
    <w:rsid w:val="46501C64"/>
    <w:rsid w:val="4CABAA35"/>
    <w:rsid w:val="534F124B"/>
    <w:rsid w:val="54501C50"/>
    <w:rsid w:val="5BAE40D2"/>
    <w:rsid w:val="61931413"/>
    <w:rsid w:val="638D3596"/>
    <w:rsid w:val="6919CA29"/>
    <w:rsid w:val="6B0479A8"/>
    <w:rsid w:val="6FA50564"/>
    <w:rsid w:val="72F5C6E4"/>
    <w:rsid w:val="7D7302D3"/>
    <w:rsid w:val="7DFE753E"/>
    <w:rsid w:val="7EE3D0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DB5EA0"/>
  <w15:docId w15:val="{D0EAA534-7CB5-4590-A656-179DF94521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6670"/>
    <w:rPr>
      <w:rFonts w:ascii="Arial" w:hAnsi="Arial" w:eastAsia="Times New Roman"/>
      <w:sz w:val="24"/>
      <w:szCs w:val="20"/>
      <w:lang w:val="es-ES_tradnl"/>
    </w:rPr>
  </w:style>
  <w:style w:type="paragraph" w:styleId="Ttulo2">
    <w:name w:val="heading 2"/>
    <w:link w:val="Ttulo2Car"/>
    <w:uiPriority w:val="9"/>
    <w:unhideWhenUsed/>
    <w:qFormat/>
    <w:locked/>
    <w:rsid w:val="005F09AC"/>
    <w:pPr>
      <w:spacing w:before="240" w:after="160" w:line="259" w:lineRule="auto"/>
      <w:outlineLvl w:val="1"/>
    </w:pPr>
    <w:rPr>
      <w:rFonts w:cs="Calibri"/>
      <w:b/>
      <w:sz w:val="24"/>
      <w:szCs w:val="20"/>
      <w:lang w:val="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Default" w:customStyle="1">
    <w:name w:val="Default"/>
    <w:uiPriority w:val="99"/>
    <w:rsid w:val="00096670"/>
    <w:pPr>
      <w:widowControl w:val="0"/>
      <w:autoSpaceDE w:val="0"/>
      <w:autoSpaceDN w:val="0"/>
      <w:adjustRightInd w:val="0"/>
    </w:pPr>
    <w:rPr>
      <w:rFonts w:ascii="5486" w:hAnsi="5486" w:eastAsia="Times New Roman" w:cs="5486"/>
      <w:color w:val="000000"/>
      <w:sz w:val="24"/>
      <w:szCs w:val="24"/>
    </w:rPr>
  </w:style>
  <w:style w:type="paragraph" w:styleId="Encabezado">
    <w:name w:val="header"/>
    <w:basedOn w:val="Normal"/>
    <w:link w:val="EncabezadoCar"/>
    <w:uiPriority w:val="99"/>
    <w:semiHidden/>
    <w:rsid w:val="008A0A7C"/>
    <w:pPr>
      <w:tabs>
        <w:tab w:val="center" w:pos="4252"/>
        <w:tab w:val="right" w:pos="8504"/>
      </w:tabs>
    </w:pPr>
  </w:style>
  <w:style w:type="character" w:styleId="EncabezadoCar" w:customStyle="1">
    <w:name w:val="Encabezado Car"/>
    <w:basedOn w:val="Fuentedeprrafopredeter"/>
    <w:link w:val="Encabezado"/>
    <w:uiPriority w:val="99"/>
    <w:semiHidden/>
    <w:locked/>
    <w:rsid w:val="008A0A7C"/>
    <w:rPr>
      <w:rFonts w:ascii="Arial" w:hAnsi="Arial" w:cs="Times New Roman"/>
      <w:sz w:val="20"/>
      <w:szCs w:val="20"/>
      <w:lang w:val="es-ES_tradnl" w:eastAsia="es-ES"/>
    </w:rPr>
  </w:style>
  <w:style w:type="paragraph" w:styleId="Piedepgina">
    <w:name w:val="footer"/>
    <w:basedOn w:val="Normal"/>
    <w:link w:val="PiedepginaCar"/>
    <w:uiPriority w:val="99"/>
    <w:semiHidden/>
    <w:rsid w:val="008A0A7C"/>
    <w:pPr>
      <w:tabs>
        <w:tab w:val="center" w:pos="4252"/>
        <w:tab w:val="right" w:pos="8504"/>
      </w:tabs>
    </w:pPr>
  </w:style>
  <w:style w:type="character" w:styleId="PiedepginaCar" w:customStyle="1">
    <w:name w:val="Pie de página Car"/>
    <w:basedOn w:val="Fuentedeprrafopredeter"/>
    <w:link w:val="Piedepgina"/>
    <w:uiPriority w:val="99"/>
    <w:semiHidden/>
    <w:locked/>
    <w:rsid w:val="008A0A7C"/>
    <w:rPr>
      <w:rFonts w:ascii="Arial" w:hAnsi="Arial" w:cs="Times New Roman"/>
      <w:sz w:val="20"/>
      <w:szCs w:val="20"/>
      <w:lang w:val="es-ES_tradnl" w:eastAsia="es-ES"/>
    </w:rPr>
  </w:style>
  <w:style w:type="paragraph" w:styleId="Prrafodelista">
    <w:name w:val="List Paragraph"/>
    <w:basedOn w:val="Normal"/>
    <w:link w:val="PrrafodelistaCar"/>
    <w:uiPriority w:val="34"/>
    <w:qFormat/>
    <w:rsid w:val="00F217AD"/>
    <w:pPr>
      <w:ind w:left="720"/>
      <w:contextualSpacing/>
    </w:pPr>
  </w:style>
  <w:style w:type="paragraph" w:styleId="Textodeglobo">
    <w:name w:val="Balloon Text"/>
    <w:basedOn w:val="Normal"/>
    <w:link w:val="TextodegloboCar"/>
    <w:uiPriority w:val="99"/>
    <w:semiHidden/>
    <w:unhideWhenUsed/>
    <w:rsid w:val="00CB06C1"/>
    <w:rPr>
      <w:rFonts w:ascii="Tahoma" w:hAnsi="Tahoma" w:cs="Tahoma"/>
      <w:sz w:val="16"/>
      <w:szCs w:val="16"/>
    </w:rPr>
  </w:style>
  <w:style w:type="character" w:styleId="TextodegloboCar" w:customStyle="1">
    <w:name w:val="Texto de globo Car"/>
    <w:basedOn w:val="Fuentedeprrafopredeter"/>
    <w:link w:val="Textodeglobo"/>
    <w:uiPriority w:val="99"/>
    <w:semiHidden/>
    <w:rsid w:val="00CB06C1"/>
    <w:rPr>
      <w:rFonts w:ascii="Tahoma" w:hAnsi="Tahoma" w:eastAsia="Times New Roman" w:cs="Tahoma"/>
      <w:sz w:val="16"/>
      <w:szCs w:val="16"/>
      <w:lang w:val="es-ES_tradnl"/>
    </w:rPr>
  </w:style>
  <w:style w:type="character" w:styleId="PrrafodelistaCar" w:customStyle="1">
    <w:name w:val="Párrafo de lista Car"/>
    <w:basedOn w:val="Fuentedeprrafopredeter"/>
    <w:link w:val="Prrafodelista"/>
    <w:uiPriority w:val="34"/>
    <w:locked/>
    <w:rsid w:val="00AF162A"/>
    <w:rPr>
      <w:rFonts w:ascii="Arial" w:hAnsi="Arial" w:eastAsia="Times New Roman"/>
      <w:sz w:val="24"/>
      <w:szCs w:val="20"/>
      <w:lang w:val="es-ES_tradnl"/>
    </w:rPr>
  </w:style>
  <w:style w:type="character" w:styleId="Refdecomentario">
    <w:name w:val="annotation reference"/>
    <w:basedOn w:val="Fuentedeprrafopredeter"/>
    <w:uiPriority w:val="99"/>
    <w:semiHidden/>
    <w:unhideWhenUsed/>
    <w:rsid w:val="000844C1"/>
    <w:rPr>
      <w:sz w:val="16"/>
      <w:szCs w:val="16"/>
    </w:rPr>
  </w:style>
  <w:style w:type="paragraph" w:styleId="Textocomentario">
    <w:name w:val="annotation text"/>
    <w:basedOn w:val="Normal"/>
    <w:link w:val="TextocomentarioCar"/>
    <w:uiPriority w:val="99"/>
    <w:semiHidden/>
    <w:unhideWhenUsed/>
    <w:rsid w:val="000844C1"/>
    <w:rPr>
      <w:sz w:val="20"/>
    </w:rPr>
  </w:style>
  <w:style w:type="character" w:styleId="TextocomentarioCar" w:customStyle="1">
    <w:name w:val="Texto comentario Car"/>
    <w:basedOn w:val="Fuentedeprrafopredeter"/>
    <w:link w:val="Textocomentario"/>
    <w:uiPriority w:val="99"/>
    <w:semiHidden/>
    <w:rsid w:val="000844C1"/>
    <w:rPr>
      <w:rFonts w:ascii="Arial" w:hAnsi="Arial" w:eastAsia="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844C1"/>
    <w:rPr>
      <w:b/>
      <w:bCs/>
    </w:rPr>
  </w:style>
  <w:style w:type="character" w:styleId="AsuntodelcomentarioCar" w:customStyle="1">
    <w:name w:val="Asunto del comentario Car"/>
    <w:basedOn w:val="TextocomentarioCar"/>
    <w:link w:val="Asuntodelcomentario"/>
    <w:uiPriority w:val="99"/>
    <w:semiHidden/>
    <w:rsid w:val="000844C1"/>
    <w:rPr>
      <w:rFonts w:ascii="Arial" w:hAnsi="Arial" w:eastAsia="Times New Roman"/>
      <w:b/>
      <w:bCs/>
      <w:sz w:val="20"/>
      <w:szCs w:val="20"/>
      <w:lang w:val="es-ES_tradnl"/>
    </w:rPr>
  </w:style>
  <w:style w:type="character" w:styleId="Hipervnculo">
    <w:name w:val="Hyperlink"/>
    <w:basedOn w:val="Fuentedeprrafopredeter"/>
    <w:uiPriority w:val="99"/>
    <w:unhideWhenUsed/>
    <w:rsid w:val="000844C1"/>
    <w:rPr>
      <w:color w:val="0000FF" w:themeColor="hyperlink"/>
      <w:u w:val="single"/>
    </w:rPr>
  </w:style>
  <w:style w:type="character" w:styleId="Mencinsinresolver1" w:customStyle="1">
    <w:name w:val="Mención sin resolver1"/>
    <w:basedOn w:val="Fuentedeprrafopredeter"/>
    <w:uiPriority w:val="99"/>
    <w:semiHidden/>
    <w:unhideWhenUsed/>
    <w:rsid w:val="00212404"/>
    <w:rPr>
      <w:color w:val="605E5C"/>
      <w:shd w:val="clear" w:color="auto" w:fill="E1DFDD"/>
    </w:rPr>
  </w:style>
  <w:style w:type="character" w:styleId="Ttulo2Car" w:customStyle="1">
    <w:name w:val="Título 2 Car"/>
    <w:basedOn w:val="Fuentedeprrafopredeter"/>
    <w:link w:val="Ttulo2"/>
    <w:uiPriority w:val="9"/>
    <w:rsid w:val="005F09AC"/>
    <w:rPr>
      <w:rFonts w:cs="Calibri"/>
      <w:b/>
      <w:sz w:val="24"/>
      <w:szCs w:val="20"/>
      <w:lang w:val="en-US"/>
    </w:rPr>
  </w:style>
  <w:style w:type="paragraph" w:styleId="Justified" w:customStyle="1">
    <w:name w:val="Justified"/>
    <w:rsid w:val="005F09AC"/>
    <w:pPr>
      <w:spacing w:after="160" w:line="259" w:lineRule="auto"/>
      <w:jc w:val="both"/>
    </w:pPr>
    <w:rPr>
      <w:rFonts w:cs="Calibri"/>
      <w:sz w:val="20"/>
      <w:szCs w:val="20"/>
      <w:lang w:val="en-US"/>
    </w:rPr>
  </w:style>
  <w:style w:type="table" w:styleId="Tablaconcuadrcula">
    <w:name w:val="Table Grid"/>
    <w:basedOn w:val="Tablanormal"/>
    <w:uiPriority w:val="39"/>
    <w:locked/>
    <w:rsid w:val="00112DC9"/>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776082"/>
    <w:rPr>
      <w:rFonts w:ascii="Arial" w:hAnsi="Arial" w:eastAsia="Times New Roman"/>
      <w:sz w:val="24"/>
      <w:szCs w:val="20"/>
      <w:lang w:val="es-ES_tradnl"/>
    </w:rPr>
  </w:style>
  <w:style w:type="paragraph" w:styleId="NormalWeb">
    <w:name w:val="Normal (Web)"/>
    <w:basedOn w:val="Normal"/>
    <w:uiPriority w:val="99"/>
    <w:semiHidden/>
    <w:unhideWhenUsed/>
    <w:rsid w:val="005444E3"/>
    <w:pPr>
      <w:spacing w:before="100" w:beforeAutospacing="1" w:after="100" w:afterAutospacing="1"/>
    </w:pPr>
    <w:rPr>
      <w:rFonts w:ascii="Times New Roman" w:hAnsi="Times New Roman"/>
      <w:szCs w:val="24"/>
      <w:lang w:val="es-ES"/>
    </w:rPr>
  </w:style>
  <w:style w:type="character" w:styleId="Mencinsinresolver">
    <w:name w:val="Unresolved Mention"/>
    <w:basedOn w:val="Fuentedeprrafopredeter"/>
    <w:uiPriority w:val="99"/>
    <w:semiHidden/>
    <w:unhideWhenUsed/>
    <w:rsid w:val="00115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668915">
      <w:bodyDiv w:val="1"/>
      <w:marLeft w:val="0"/>
      <w:marRight w:val="0"/>
      <w:marTop w:val="0"/>
      <w:marBottom w:val="0"/>
      <w:divBdr>
        <w:top w:val="none" w:sz="0" w:space="0" w:color="auto"/>
        <w:left w:val="none" w:sz="0" w:space="0" w:color="auto"/>
        <w:bottom w:val="none" w:sz="0" w:space="0" w:color="auto"/>
        <w:right w:val="none" w:sz="0" w:space="0" w:color="auto"/>
      </w:divBdr>
    </w:div>
    <w:div w:id="14819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aortiz@fjd.es" TargetMode="External" Id="rId8" /><Relationship Type="http://schemas.openxmlformats.org/officeDocument/2006/relationships/hyperlink" Target="https://www.usrds.org/annual-data-re"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mailto:raquel.esteras@quironsalud.es"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beatriz.durag@quironsalud.es"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mailto:elena.goma@quironsalud.es"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mailto:mvanessa@fjd.es" TargetMode="External" Id="rId9" /><Relationship Type="http://schemas.openxmlformats.org/officeDocument/2006/relationships/hyperlink" Target="mailto:dpo@fjd.es"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7C747-D83B-4C63-9802-F6ABF04D68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ABERNAL</dc:creator>
  <lastModifiedBy>MARIA VANESSA PEREZ GOMEZ</lastModifiedBy>
  <revision>8</revision>
  <dcterms:created xsi:type="dcterms:W3CDTF">2023-03-23T08:59:00.0000000Z</dcterms:created>
  <dcterms:modified xsi:type="dcterms:W3CDTF">2023-11-21T12:22:26.0971115Z</dcterms:modified>
</coreProperties>
</file>